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47C9F" w14:textId="77777777" w:rsidR="00940D56" w:rsidRDefault="00940D56" w:rsidP="00940D56">
      <w:pPr>
        <w:jc w:val="center"/>
        <w:rPr>
          <w:rFonts w:ascii="Arial Narrow" w:hAnsi="Arial Narrow" w:cs="Arial"/>
        </w:rPr>
      </w:pPr>
      <w:r w:rsidRPr="00463BCB">
        <w:rPr>
          <w:rFonts w:ascii="Arial Narrow" w:hAnsi="Arial Narrow" w:cs="Arial"/>
          <w:noProof/>
        </w:rPr>
        <w:drawing>
          <wp:inline distT="0" distB="0" distL="0" distR="0" wp14:anchorId="058423E1" wp14:editId="39611866">
            <wp:extent cx="2393950" cy="1507490"/>
            <wp:effectExtent l="0" t="0" r="6350" b="0"/>
            <wp:docPr id="2" name="Picture 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3950" cy="1507490"/>
                    </a:xfrm>
                    <a:prstGeom prst="rect">
                      <a:avLst/>
                    </a:prstGeom>
                    <a:noFill/>
                    <a:ln>
                      <a:noFill/>
                    </a:ln>
                  </pic:spPr>
                </pic:pic>
              </a:graphicData>
            </a:graphic>
          </wp:inline>
        </w:drawing>
      </w:r>
    </w:p>
    <w:p w14:paraId="291DC06C" w14:textId="77777777" w:rsidR="00940D56" w:rsidRPr="00A661A6" w:rsidRDefault="00940D56" w:rsidP="00940D56">
      <w:pPr>
        <w:jc w:val="center"/>
        <w:rPr>
          <w:sz w:val="32"/>
          <w:szCs w:val="32"/>
        </w:rPr>
      </w:pPr>
      <w:r w:rsidRPr="00A661A6">
        <w:rPr>
          <w:sz w:val="32"/>
          <w:szCs w:val="32"/>
        </w:rPr>
        <w:t>PRIRODOSLOVNO-MATEMATIČKI FAKULTET</w:t>
      </w:r>
    </w:p>
    <w:p w14:paraId="756BAED8" w14:textId="77777777" w:rsidR="00940D56" w:rsidRPr="00940D56" w:rsidRDefault="00940D56" w:rsidP="00940D56">
      <w:pPr>
        <w:jc w:val="center"/>
        <w:rPr>
          <w:sz w:val="28"/>
          <w:szCs w:val="28"/>
        </w:rPr>
      </w:pPr>
      <w:r w:rsidRPr="00A661A6">
        <w:rPr>
          <w:sz w:val="32"/>
          <w:szCs w:val="32"/>
          <w:lang w:val="hr-HR"/>
        </w:rPr>
        <w:t>Kemijski odsjek</w:t>
      </w:r>
    </w:p>
    <w:p w14:paraId="3F1F9CD7" w14:textId="77777777" w:rsidR="00940D56" w:rsidRPr="00940D56" w:rsidRDefault="00940D56" w:rsidP="00940D56">
      <w:pPr>
        <w:jc w:val="center"/>
        <w:rPr>
          <w:sz w:val="32"/>
          <w:szCs w:val="32"/>
        </w:rPr>
      </w:pPr>
    </w:p>
    <w:p w14:paraId="3AD0AE0F" w14:textId="77777777" w:rsidR="00195AED" w:rsidRPr="00940D56" w:rsidRDefault="00195AED" w:rsidP="00940D56">
      <w:pPr>
        <w:rPr>
          <w:sz w:val="32"/>
          <w:szCs w:val="32"/>
          <w:lang w:val="hr-HR"/>
        </w:rPr>
      </w:pPr>
    </w:p>
    <w:p w14:paraId="72B25A00" w14:textId="77777777" w:rsidR="00195AED" w:rsidRPr="00940D56" w:rsidRDefault="00195AED" w:rsidP="00940D56">
      <w:pPr>
        <w:rPr>
          <w:sz w:val="32"/>
          <w:szCs w:val="32"/>
          <w:lang w:val="hr-HR"/>
        </w:rPr>
      </w:pPr>
    </w:p>
    <w:p w14:paraId="3F33A910" w14:textId="77777777" w:rsidR="00195AED" w:rsidRPr="00940D56" w:rsidRDefault="00195AED" w:rsidP="00195AED">
      <w:pPr>
        <w:jc w:val="center"/>
        <w:rPr>
          <w:sz w:val="32"/>
          <w:szCs w:val="32"/>
          <w:lang w:val="hr-HR"/>
        </w:rPr>
      </w:pPr>
    </w:p>
    <w:p w14:paraId="3BE9966A" w14:textId="77777777" w:rsidR="00195AED" w:rsidRPr="00195AED" w:rsidRDefault="00515021" w:rsidP="00195AED">
      <w:pPr>
        <w:jc w:val="center"/>
        <w:rPr>
          <w:sz w:val="32"/>
          <w:szCs w:val="32"/>
          <w:lang w:val="hr-HR"/>
        </w:rPr>
      </w:pPr>
      <w:r>
        <w:rPr>
          <w:sz w:val="32"/>
          <w:szCs w:val="32"/>
          <w:lang w:val="hr-HR"/>
        </w:rPr>
        <w:t>Marija Bartolić</w:t>
      </w:r>
    </w:p>
    <w:p w14:paraId="0B3C44EA" w14:textId="77777777" w:rsidR="00195AED" w:rsidRPr="00BB3709" w:rsidRDefault="00195AED" w:rsidP="00195AED">
      <w:pPr>
        <w:rPr>
          <w:rFonts w:ascii="Arial Narrow" w:hAnsi="Arial Narrow" w:cs="Arial Narrow"/>
          <w:sz w:val="32"/>
          <w:szCs w:val="32"/>
          <w:lang w:val="hr-HR"/>
        </w:rPr>
      </w:pPr>
    </w:p>
    <w:p w14:paraId="222C87C5" w14:textId="77777777" w:rsidR="00195AED" w:rsidRPr="00754D97" w:rsidRDefault="00195AED" w:rsidP="00940D56">
      <w:pPr>
        <w:rPr>
          <w:rFonts w:ascii="Arial Narrow" w:hAnsi="Arial Narrow" w:cs="Arial Narrow"/>
          <w:sz w:val="32"/>
          <w:szCs w:val="32"/>
          <w:lang w:val="hr-HR"/>
        </w:rPr>
      </w:pPr>
    </w:p>
    <w:p w14:paraId="21616457" w14:textId="77777777" w:rsidR="00195AED" w:rsidRPr="00754D97" w:rsidRDefault="00195AED" w:rsidP="00195AED">
      <w:pPr>
        <w:jc w:val="center"/>
        <w:rPr>
          <w:rFonts w:ascii="Arial Narrow" w:hAnsi="Arial Narrow" w:cs="Arial Narrow"/>
          <w:sz w:val="32"/>
          <w:szCs w:val="32"/>
          <w:lang w:val="hr-HR"/>
        </w:rPr>
      </w:pPr>
    </w:p>
    <w:p w14:paraId="305313EE" w14:textId="77777777" w:rsidR="00195AED" w:rsidRPr="00940D56" w:rsidRDefault="00515021" w:rsidP="00195AED">
      <w:pPr>
        <w:spacing w:line="276" w:lineRule="auto"/>
        <w:jc w:val="center"/>
        <w:rPr>
          <w:b/>
          <w:bCs/>
          <w:sz w:val="44"/>
          <w:szCs w:val="44"/>
          <w:lang w:val="hr-HR"/>
        </w:rPr>
      </w:pPr>
      <w:r>
        <w:rPr>
          <w:b/>
          <w:bCs/>
          <w:sz w:val="44"/>
          <w:szCs w:val="44"/>
          <w:lang w:val="hr-HR"/>
        </w:rPr>
        <w:t>STRUKTURA, ULOGA I INHIBICIJA β-SEKRETAZE</w:t>
      </w:r>
    </w:p>
    <w:p w14:paraId="7E305F62" w14:textId="77777777" w:rsidR="00195AED" w:rsidRPr="00754D97" w:rsidRDefault="00195AED" w:rsidP="00940D56">
      <w:pPr>
        <w:spacing w:line="276" w:lineRule="auto"/>
        <w:rPr>
          <w:sz w:val="32"/>
          <w:szCs w:val="32"/>
          <w:lang w:val="hr-HR"/>
        </w:rPr>
      </w:pPr>
    </w:p>
    <w:p w14:paraId="20C82F36" w14:textId="77777777" w:rsidR="00195AED" w:rsidRPr="00754D97" w:rsidRDefault="00195AED" w:rsidP="00195AED">
      <w:pPr>
        <w:spacing w:line="276" w:lineRule="auto"/>
        <w:jc w:val="center"/>
        <w:rPr>
          <w:sz w:val="32"/>
          <w:szCs w:val="32"/>
          <w:lang w:val="hr-HR"/>
        </w:rPr>
      </w:pPr>
    </w:p>
    <w:p w14:paraId="3AC7E0CA" w14:textId="77777777" w:rsidR="00195AED" w:rsidRPr="00754D97" w:rsidRDefault="00195AED" w:rsidP="00195AED">
      <w:pPr>
        <w:jc w:val="center"/>
        <w:rPr>
          <w:sz w:val="32"/>
          <w:szCs w:val="32"/>
          <w:lang w:val="hr-HR"/>
        </w:rPr>
      </w:pPr>
    </w:p>
    <w:p w14:paraId="21078BBD" w14:textId="77777777" w:rsidR="00195AED" w:rsidRPr="00195AED" w:rsidRDefault="00515021" w:rsidP="00195AED">
      <w:pPr>
        <w:spacing w:after="120" w:line="360" w:lineRule="auto"/>
        <w:jc w:val="center"/>
        <w:rPr>
          <w:b/>
          <w:sz w:val="28"/>
          <w:szCs w:val="28"/>
          <w:lang w:val="hr-HR"/>
        </w:rPr>
      </w:pPr>
      <w:r>
        <w:rPr>
          <w:b/>
          <w:sz w:val="28"/>
          <w:szCs w:val="28"/>
          <w:lang w:val="hr-HR"/>
        </w:rPr>
        <w:t>Kemijski seminar I</w:t>
      </w:r>
    </w:p>
    <w:p w14:paraId="398889C8" w14:textId="77777777" w:rsidR="00195AED" w:rsidRPr="00754D97" w:rsidRDefault="00195AED" w:rsidP="00195AED">
      <w:pPr>
        <w:jc w:val="center"/>
        <w:rPr>
          <w:rFonts w:ascii="Arial Narrow" w:hAnsi="Arial Narrow" w:cs="Arial Narrow"/>
          <w:sz w:val="32"/>
          <w:szCs w:val="32"/>
          <w:lang w:val="de-DE"/>
        </w:rPr>
      </w:pPr>
    </w:p>
    <w:p w14:paraId="461A995E" w14:textId="77777777" w:rsidR="00195AED" w:rsidRPr="00754D97" w:rsidRDefault="00195AED" w:rsidP="00940D56">
      <w:pPr>
        <w:rPr>
          <w:rFonts w:ascii="Arial Narrow" w:hAnsi="Arial Narrow" w:cs="Arial Narrow"/>
          <w:sz w:val="32"/>
          <w:szCs w:val="32"/>
          <w:lang w:val="de-DE"/>
        </w:rPr>
      </w:pPr>
    </w:p>
    <w:p w14:paraId="057A9194" w14:textId="77777777" w:rsidR="00195AED" w:rsidRPr="00754D97" w:rsidRDefault="00195AED" w:rsidP="00195AED">
      <w:pPr>
        <w:jc w:val="center"/>
        <w:rPr>
          <w:rFonts w:ascii="Arial Narrow" w:hAnsi="Arial Narrow" w:cs="Arial Narrow"/>
          <w:sz w:val="32"/>
          <w:szCs w:val="32"/>
          <w:lang w:val="de-DE"/>
        </w:rPr>
      </w:pPr>
    </w:p>
    <w:p w14:paraId="4A2F99DB" w14:textId="77777777" w:rsidR="00195AED" w:rsidRPr="00754D97" w:rsidRDefault="00195AED" w:rsidP="00195AED">
      <w:pPr>
        <w:jc w:val="center"/>
        <w:rPr>
          <w:rFonts w:ascii="Arial Narrow" w:hAnsi="Arial Narrow" w:cs="Arial Narrow"/>
          <w:sz w:val="32"/>
          <w:szCs w:val="32"/>
          <w:lang w:val="de-DE"/>
        </w:rPr>
      </w:pPr>
    </w:p>
    <w:p w14:paraId="1F2E3E27" w14:textId="77777777" w:rsidR="00195AED" w:rsidRPr="00754D97" w:rsidRDefault="00195AED" w:rsidP="00195AED">
      <w:pPr>
        <w:jc w:val="center"/>
        <w:rPr>
          <w:sz w:val="28"/>
          <w:szCs w:val="28"/>
        </w:rPr>
      </w:pPr>
      <w:r w:rsidRPr="00754D97">
        <w:rPr>
          <w:sz w:val="28"/>
          <w:szCs w:val="28"/>
          <w:lang w:val="de-DE"/>
        </w:rPr>
        <w:t>Zagreb</w:t>
      </w:r>
      <w:r w:rsidRPr="00195AED">
        <w:rPr>
          <w:sz w:val="28"/>
          <w:szCs w:val="28"/>
          <w:lang w:val="hr-HR"/>
        </w:rPr>
        <w:t xml:space="preserve">, </w:t>
      </w:r>
      <w:r w:rsidR="00515021">
        <w:rPr>
          <w:sz w:val="28"/>
          <w:szCs w:val="28"/>
          <w:lang w:val="hr-HR"/>
        </w:rPr>
        <w:t>202</w:t>
      </w:r>
      <w:r w:rsidR="009B0F01">
        <w:rPr>
          <w:sz w:val="28"/>
          <w:szCs w:val="28"/>
          <w:lang w:val="hr-HR"/>
        </w:rPr>
        <w:t>2</w:t>
      </w:r>
      <w:r w:rsidR="00515021">
        <w:rPr>
          <w:sz w:val="28"/>
          <w:szCs w:val="28"/>
          <w:lang w:val="hr-HR"/>
        </w:rPr>
        <w:t>. godina</w:t>
      </w:r>
    </w:p>
    <w:p w14:paraId="4C131E9B" w14:textId="77777777" w:rsidR="00195AED" w:rsidRPr="00A44071" w:rsidRDefault="00195AED" w:rsidP="00195AED">
      <w:pPr>
        <w:pStyle w:val="OCJENSKIRADOVIFontParagraph"/>
        <w:sectPr w:rsidR="00195AED" w:rsidRPr="00A44071" w:rsidSect="00CF6BB4">
          <w:pgSz w:w="11907" w:h="16840" w:code="9"/>
          <w:pgMar w:top="1701" w:right="1418" w:bottom="1701" w:left="1418" w:header="1134" w:footer="1134" w:gutter="0"/>
          <w:pgNumType w:fmt="lowerRoman"/>
          <w:cols w:space="708"/>
          <w:docGrid w:linePitch="360"/>
        </w:sectPr>
      </w:pPr>
    </w:p>
    <w:sdt>
      <w:sdtPr>
        <w:rPr>
          <w:rFonts w:ascii="Times New Roman" w:hAnsi="Times New Roman" w:cs="Times New Roman"/>
          <w:b w:val="0"/>
          <w:bCs w:val="0"/>
          <w:color w:val="auto"/>
          <w:sz w:val="24"/>
          <w:szCs w:val="24"/>
        </w:rPr>
        <w:id w:val="-823275896"/>
        <w:docPartObj>
          <w:docPartGallery w:val="Table of Contents"/>
          <w:docPartUnique/>
        </w:docPartObj>
      </w:sdtPr>
      <w:sdtEndPr>
        <w:rPr>
          <w:noProof/>
        </w:rPr>
      </w:sdtEndPr>
      <w:sdtContent>
        <w:p w14:paraId="148A023E" w14:textId="77777777" w:rsidR="00171E1F" w:rsidRPr="00B55905" w:rsidRDefault="00171E1F">
          <w:pPr>
            <w:pStyle w:val="TOCHeading"/>
            <w:rPr>
              <w:color w:val="003399"/>
              <w:sz w:val="36"/>
              <w:szCs w:val="36"/>
              <w:lang w:val="hr-HR"/>
            </w:rPr>
          </w:pPr>
          <w:r w:rsidRPr="00B55905">
            <w:rPr>
              <w:color w:val="003399"/>
              <w:sz w:val="36"/>
              <w:szCs w:val="36"/>
              <w:lang w:val="hr-HR"/>
            </w:rPr>
            <w:t>Sadržaj</w:t>
          </w:r>
        </w:p>
        <w:p w14:paraId="0D84C783" w14:textId="77777777" w:rsidR="00171E1F" w:rsidRPr="00171E1F" w:rsidRDefault="00171E1F" w:rsidP="00171E1F"/>
        <w:p w14:paraId="1EEB3706" w14:textId="2FEE098F" w:rsidR="00547F7B" w:rsidRDefault="00171E1F">
          <w:pPr>
            <w:pStyle w:val="TOC1"/>
            <w:rPr>
              <w:rFonts w:asciiTheme="minorHAnsi" w:eastAsiaTheme="minorEastAsia" w:hAnsiTheme="minorHAnsi" w:cstheme="minorBidi"/>
              <w:b w:val="0"/>
              <w:bCs w:val="0"/>
              <w:caps w:val="0"/>
              <w:color w:val="auto"/>
              <w:sz w:val="22"/>
              <w:szCs w:val="22"/>
            </w:rPr>
          </w:pPr>
          <w:r>
            <w:fldChar w:fldCharType="begin"/>
          </w:r>
          <w:r>
            <w:instrText xml:space="preserve"> TOC \o "1-3" \h \z \u </w:instrText>
          </w:r>
          <w:r>
            <w:fldChar w:fldCharType="separate"/>
          </w:r>
          <w:hyperlink w:anchor="_Toc101271711" w:history="1">
            <w:r w:rsidR="00547F7B" w:rsidRPr="009722D3">
              <w:rPr>
                <w:rStyle w:val="Hyperlink"/>
              </w:rPr>
              <w:t>§ 1.</w:t>
            </w:r>
            <w:r w:rsidR="00547F7B">
              <w:rPr>
                <w:rFonts w:asciiTheme="minorHAnsi" w:eastAsiaTheme="minorEastAsia" w:hAnsiTheme="minorHAnsi" w:cstheme="minorBidi"/>
                <w:b w:val="0"/>
                <w:bCs w:val="0"/>
                <w:caps w:val="0"/>
                <w:color w:val="auto"/>
                <w:sz w:val="22"/>
                <w:szCs w:val="22"/>
              </w:rPr>
              <w:tab/>
            </w:r>
            <w:r w:rsidR="00547F7B" w:rsidRPr="009722D3">
              <w:rPr>
                <w:rStyle w:val="Hyperlink"/>
              </w:rPr>
              <w:t>UVOD</w:t>
            </w:r>
            <w:r w:rsidR="00547F7B">
              <w:rPr>
                <w:webHidden/>
              </w:rPr>
              <w:tab/>
            </w:r>
            <w:r w:rsidR="00547F7B">
              <w:rPr>
                <w:webHidden/>
              </w:rPr>
              <w:fldChar w:fldCharType="begin"/>
            </w:r>
            <w:r w:rsidR="00547F7B">
              <w:rPr>
                <w:webHidden/>
              </w:rPr>
              <w:instrText xml:space="preserve"> PAGEREF _Toc101271711 \h </w:instrText>
            </w:r>
            <w:r w:rsidR="00547F7B">
              <w:rPr>
                <w:webHidden/>
              </w:rPr>
            </w:r>
            <w:r w:rsidR="00547F7B">
              <w:rPr>
                <w:webHidden/>
              </w:rPr>
              <w:fldChar w:fldCharType="separate"/>
            </w:r>
            <w:r w:rsidR="00547F7B">
              <w:rPr>
                <w:webHidden/>
              </w:rPr>
              <w:t>1</w:t>
            </w:r>
            <w:r w:rsidR="00547F7B">
              <w:rPr>
                <w:webHidden/>
              </w:rPr>
              <w:fldChar w:fldCharType="end"/>
            </w:r>
          </w:hyperlink>
        </w:p>
        <w:p w14:paraId="40AAAF8E" w14:textId="4B81B678" w:rsidR="00547F7B" w:rsidRDefault="008D7582">
          <w:pPr>
            <w:pStyle w:val="TOC1"/>
            <w:rPr>
              <w:rFonts w:asciiTheme="minorHAnsi" w:eastAsiaTheme="minorEastAsia" w:hAnsiTheme="minorHAnsi" w:cstheme="minorBidi"/>
              <w:b w:val="0"/>
              <w:bCs w:val="0"/>
              <w:caps w:val="0"/>
              <w:color w:val="auto"/>
              <w:sz w:val="22"/>
              <w:szCs w:val="22"/>
            </w:rPr>
          </w:pPr>
          <w:hyperlink w:anchor="_Toc101271712" w:history="1">
            <w:r w:rsidR="00547F7B" w:rsidRPr="009722D3">
              <w:rPr>
                <w:rStyle w:val="Hyperlink"/>
              </w:rPr>
              <w:t>§ 2.</w:t>
            </w:r>
            <w:r w:rsidR="00547F7B">
              <w:rPr>
                <w:rFonts w:asciiTheme="minorHAnsi" w:eastAsiaTheme="minorEastAsia" w:hAnsiTheme="minorHAnsi" w:cstheme="minorBidi"/>
                <w:b w:val="0"/>
                <w:bCs w:val="0"/>
                <w:caps w:val="0"/>
                <w:color w:val="auto"/>
                <w:sz w:val="22"/>
                <w:szCs w:val="22"/>
              </w:rPr>
              <w:tab/>
            </w:r>
            <w:r w:rsidR="00547F7B" w:rsidRPr="009722D3">
              <w:rPr>
                <w:rStyle w:val="Hyperlink"/>
              </w:rPr>
              <w:t>β-sekretaze</w:t>
            </w:r>
            <w:r w:rsidR="00547F7B">
              <w:rPr>
                <w:webHidden/>
              </w:rPr>
              <w:tab/>
            </w:r>
            <w:r w:rsidR="00547F7B">
              <w:rPr>
                <w:webHidden/>
              </w:rPr>
              <w:fldChar w:fldCharType="begin"/>
            </w:r>
            <w:r w:rsidR="00547F7B">
              <w:rPr>
                <w:webHidden/>
              </w:rPr>
              <w:instrText xml:space="preserve"> PAGEREF _Toc101271712 \h </w:instrText>
            </w:r>
            <w:r w:rsidR="00547F7B">
              <w:rPr>
                <w:webHidden/>
              </w:rPr>
            </w:r>
            <w:r w:rsidR="00547F7B">
              <w:rPr>
                <w:webHidden/>
              </w:rPr>
              <w:fldChar w:fldCharType="separate"/>
            </w:r>
            <w:r w:rsidR="00547F7B">
              <w:rPr>
                <w:webHidden/>
              </w:rPr>
              <w:t>2</w:t>
            </w:r>
            <w:r w:rsidR="00547F7B">
              <w:rPr>
                <w:webHidden/>
              </w:rPr>
              <w:fldChar w:fldCharType="end"/>
            </w:r>
          </w:hyperlink>
        </w:p>
        <w:p w14:paraId="6F1DB446" w14:textId="7F712EB7" w:rsidR="00547F7B" w:rsidRDefault="008D7582">
          <w:pPr>
            <w:pStyle w:val="TOC2"/>
            <w:rPr>
              <w:rFonts w:asciiTheme="minorHAnsi" w:eastAsiaTheme="minorEastAsia" w:hAnsiTheme="minorHAnsi" w:cstheme="minorBidi"/>
              <w:b w:val="0"/>
              <w:bCs w:val="0"/>
              <w:noProof/>
            </w:rPr>
          </w:pPr>
          <w:hyperlink w:anchor="_Toc101271713" w:history="1">
            <w:r w:rsidR="00547F7B" w:rsidRPr="009722D3">
              <w:rPr>
                <w:rStyle w:val="Hyperlink"/>
                <w:noProof/>
              </w:rPr>
              <w:t>2.1.</w:t>
            </w:r>
            <w:r w:rsidR="00547F7B">
              <w:rPr>
                <w:rFonts w:asciiTheme="minorHAnsi" w:eastAsiaTheme="minorEastAsia" w:hAnsiTheme="minorHAnsi" w:cstheme="minorBidi"/>
                <w:b w:val="0"/>
                <w:bCs w:val="0"/>
                <w:noProof/>
              </w:rPr>
              <w:tab/>
            </w:r>
            <w:r w:rsidR="00547F7B" w:rsidRPr="009722D3">
              <w:rPr>
                <w:rStyle w:val="Hyperlink"/>
                <w:noProof/>
              </w:rPr>
              <w:t>Otkriće β-sekretaza</w:t>
            </w:r>
            <w:r w:rsidR="00547F7B">
              <w:rPr>
                <w:noProof/>
                <w:webHidden/>
              </w:rPr>
              <w:tab/>
            </w:r>
            <w:r w:rsidR="00547F7B">
              <w:rPr>
                <w:noProof/>
                <w:webHidden/>
              </w:rPr>
              <w:fldChar w:fldCharType="begin"/>
            </w:r>
            <w:r w:rsidR="00547F7B">
              <w:rPr>
                <w:noProof/>
                <w:webHidden/>
              </w:rPr>
              <w:instrText xml:space="preserve"> PAGEREF _Toc101271713 \h </w:instrText>
            </w:r>
            <w:r w:rsidR="00547F7B">
              <w:rPr>
                <w:noProof/>
                <w:webHidden/>
              </w:rPr>
            </w:r>
            <w:r w:rsidR="00547F7B">
              <w:rPr>
                <w:noProof/>
                <w:webHidden/>
              </w:rPr>
              <w:fldChar w:fldCharType="separate"/>
            </w:r>
            <w:r w:rsidR="00547F7B">
              <w:rPr>
                <w:noProof/>
                <w:webHidden/>
              </w:rPr>
              <w:t>3</w:t>
            </w:r>
            <w:r w:rsidR="00547F7B">
              <w:rPr>
                <w:noProof/>
                <w:webHidden/>
              </w:rPr>
              <w:fldChar w:fldCharType="end"/>
            </w:r>
          </w:hyperlink>
        </w:p>
        <w:p w14:paraId="6199CB87" w14:textId="57AD0F7D" w:rsidR="00547F7B" w:rsidRDefault="008D7582">
          <w:pPr>
            <w:pStyle w:val="TOC2"/>
            <w:rPr>
              <w:rFonts w:asciiTheme="minorHAnsi" w:eastAsiaTheme="minorEastAsia" w:hAnsiTheme="minorHAnsi" w:cstheme="minorBidi"/>
              <w:b w:val="0"/>
              <w:bCs w:val="0"/>
              <w:noProof/>
            </w:rPr>
          </w:pPr>
          <w:hyperlink w:anchor="_Toc101271714" w:history="1">
            <w:r w:rsidR="00547F7B" w:rsidRPr="009722D3">
              <w:rPr>
                <w:rStyle w:val="Hyperlink"/>
                <w:noProof/>
              </w:rPr>
              <w:t>2.2.</w:t>
            </w:r>
            <w:r w:rsidR="00547F7B">
              <w:rPr>
                <w:rFonts w:asciiTheme="minorHAnsi" w:eastAsiaTheme="minorEastAsia" w:hAnsiTheme="minorHAnsi" w:cstheme="minorBidi"/>
                <w:b w:val="0"/>
                <w:bCs w:val="0"/>
                <w:noProof/>
              </w:rPr>
              <w:tab/>
            </w:r>
            <w:r w:rsidR="00547F7B" w:rsidRPr="009722D3">
              <w:rPr>
                <w:rStyle w:val="Hyperlink"/>
                <w:noProof/>
              </w:rPr>
              <w:t>Biosinteza i posttranslacijske modifikacije β-sekretaze</w:t>
            </w:r>
            <w:r w:rsidR="00547F7B">
              <w:rPr>
                <w:noProof/>
                <w:webHidden/>
              </w:rPr>
              <w:tab/>
            </w:r>
            <w:r w:rsidR="00547F7B">
              <w:rPr>
                <w:noProof/>
                <w:webHidden/>
              </w:rPr>
              <w:fldChar w:fldCharType="begin"/>
            </w:r>
            <w:r w:rsidR="00547F7B">
              <w:rPr>
                <w:noProof/>
                <w:webHidden/>
              </w:rPr>
              <w:instrText xml:space="preserve"> PAGEREF _Toc101271714 \h </w:instrText>
            </w:r>
            <w:r w:rsidR="00547F7B">
              <w:rPr>
                <w:noProof/>
                <w:webHidden/>
              </w:rPr>
            </w:r>
            <w:r w:rsidR="00547F7B">
              <w:rPr>
                <w:noProof/>
                <w:webHidden/>
              </w:rPr>
              <w:fldChar w:fldCharType="separate"/>
            </w:r>
            <w:r w:rsidR="00547F7B">
              <w:rPr>
                <w:noProof/>
                <w:webHidden/>
              </w:rPr>
              <w:t>4</w:t>
            </w:r>
            <w:r w:rsidR="00547F7B">
              <w:rPr>
                <w:noProof/>
                <w:webHidden/>
              </w:rPr>
              <w:fldChar w:fldCharType="end"/>
            </w:r>
          </w:hyperlink>
        </w:p>
        <w:p w14:paraId="6421DBAC" w14:textId="28B530C1" w:rsidR="00547F7B" w:rsidRDefault="008D7582">
          <w:pPr>
            <w:pStyle w:val="TOC2"/>
            <w:rPr>
              <w:rFonts w:asciiTheme="minorHAnsi" w:eastAsiaTheme="minorEastAsia" w:hAnsiTheme="minorHAnsi" w:cstheme="minorBidi"/>
              <w:b w:val="0"/>
              <w:bCs w:val="0"/>
              <w:noProof/>
            </w:rPr>
          </w:pPr>
          <w:hyperlink w:anchor="_Toc101271715" w:history="1">
            <w:r w:rsidR="00547F7B" w:rsidRPr="009722D3">
              <w:rPr>
                <w:rStyle w:val="Hyperlink"/>
                <w:noProof/>
              </w:rPr>
              <w:t>2.3.</w:t>
            </w:r>
            <w:r w:rsidR="00547F7B">
              <w:rPr>
                <w:rFonts w:asciiTheme="minorHAnsi" w:eastAsiaTheme="minorEastAsia" w:hAnsiTheme="minorHAnsi" w:cstheme="minorBidi"/>
                <w:b w:val="0"/>
                <w:bCs w:val="0"/>
                <w:noProof/>
              </w:rPr>
              <w:tab/>
            </w:r>
            <w:r w:rsidR="00547F7B" w:rsidRPr="009722D3">
              <w:rPr>
                <w:rStyle w:val="Hyperlink"/>
                <w:noProof/>
              </w:rPr>
              <w:t>Proteini koji vežu β-sekretazu</w:t>
            </w:r>
            <w:r w:rsidR="00547F7B">
              <w:rPr>
                <w:noProof/>
                <w:webHidden/>
              </w:rPr>
              <w:tab/>
            </w:r>
            <w:r w:rsidR="00547F7B">
              <w:rPr>
                <w:noProof/>
                <w:webHidden/>
              </w:rPr>
              <w:fldChar w:fldCharType="begin"/>
            </w:r>
            <w:r w:rsidR="00547F7B">
              <w:rPr>
                <w:noProof/>
                <w:webHidden/>
              </w:rPr>
              <w:instrText xml:space="preserve"> PAGEREF _Toc101271715 \h </w:instrText>
            </w:r>
            <w:r w:rsidR="00547F7B">
              <w:rPr>
                <w:noProof/>
                <w:webHidden/>
              </w:rPr>
            </w:r>
            <w:r w:rsidR="00547F7B">
              <w:rPr>
                <w:noProof/>
                <w:webHidden/>
              </w:rPr>
              <w:fldChar w:fldCharType="separate"/>
            </w:r>
            <w:r w:rsidR="00547F7B">
              <w:rPr>
                <w:noProof/>
                <w:webHidden/>
              </w:rPr>
              <w:t>5</w:t>
            </w:r>
            <w:r w:rsidR="00547F7B">
              <w:rPr>
                <w:noProof/>
                <w:webHidden/>
              </w:rPr>
              <w:fldChar w:fldCharType="end"/>
            </w:r>
          </w:hyperlink>
        </w:p>
        <w:p w14:paraId="01F54954" w14:textId="46177276" w:rsidR="00547F7B" w:rsidRDefault="008D7582">
          <w:pPr>
            <w:pStyle w:val="TOC2"/>
            <w:rPr>
              <w:rFonts w:asciiTheme="minorHAnsi" w:eastAsiaTheme="minorEastAsia" w:hAnsiTheme="minorHAnsi" w:cstheme="minorBidi"/>
              <w:b w:val="0"/>
              <w:bCs w:val="0"/>
              <w:noProof/>
            </w:rPr>
          </w:pPr>
          <w:hyperlink w:anchor="_Toc101271716" w:history="1">
            <w:r w:rsidR="00547F7B" w:rsidRPr="009722D3">
              <w:rPr>
                <w:rStyle w:val="Hyperlink"/>
                <w:noProof/>
              </w:rPr>
              <w:t>2.4.</w:t>
            </w:r>
            <w:r w:rsidR="00547F7B">
              <w:rPr>
                <w:rFonts w:asciiTheme="minorHAnsi" w:eastAsiaTheme="minorEastAsia" w:hAnsiTheme="minorHAnsi" w:cstheme="minorBidi"/>
                <w:b w:val="0"/>
                <w:bCs w:val="0"/>
                <w:noProof/>
              </w:rPr>
              <w:tab/>
            </w:r>
            <w:r w:rsidR="00547F7B" w:rsidRPr="009722D3">
              <w:rPr>
                <w:rStyle w:val="Hyperlink"/>
                <w:noProof/>
              </w:rPr>
              <w:t>Aktivno mjesto β-sekretaze</w:t>
            </w:r>
            <w:r w:rsidR="00547F7B">
              <w:rPr>
                <w:noProof/>
                <w:webHidden/>
              </w:rPr>
              <w:tab/>
            </w:r>
            <w:r w:rsidR="00547F7B">
              <w:rPr>
                <w:noProof/>
                <w:webHidden/>
              </w:rPr>
              <w:fldChar w:fldCharType="begin"/>
            </w:r>
            <w:r w:rsidR="00547F7B">
              <w:rPr>
                <w:noProof/>
                <w:webHidden/>
              </w:rPr>
              <w:instrText xml:space="preserve"> PAGEREF _Toc101271716 \h </w:instrText>
            </w:r>
            <w:r w:rsidR="00547F7B">
              <w:rPr>
                <w:noProof/>
                <w:webHidden/>
              </w:rPr>
            </w:r>
            <w:r w:rsidR="00547F7B">
              <w:rPr>
                <w:noProof/>
                <w:webHidden/>
              </w:rPr>
              <w:fldChar w:fldCharType="separate"/>
            </w:r>
            <w:r w:rsidR="00547F7B">
              <w:rPr>
                <w:noProof/>
                <w:webHidden/>
              </w:rPr>
              <w:t>8</w:t>
            </w:r>
            <w:r w:rsidR="00547F7B">
              <w:rPr>
                <w:noProof/>
                <w:webHidden/>
              </w:rPr>
              <w:fldChar w:fldCharType="end"/>
            </w:r>
          </w:hyperlink>
        </w:p>
        <w:p w14:paraId="3A0AC7F3" w14:textId="62CBCA14" w:rsidR="00547F7B" w:rsidRDefault="008D7582">
          <w:pPr>
            <w:pStyle w:val="TOC2"/>
            <w:rPr>
              <w:rFonts w:asciiTheme="minorHAnsi" w:eastAsiaTheme="minorEastAsia" w:hAnsiTheme="minorHAnsi" w:cstheme="minorBidi"/>
              <w:b w:val="0"/>
              <w:bCs w:val="0"/>
              <w:noProof/>
            </w:rPr>
          </w:pPr>
          <w:hyperlink w:anchor="_Toc101271717" w:history="1">
            <w:r w:rsidR="00547F7B" w:rsidRPr="009722D3">
              <w:rPr>
                <w:rStyle w:val="Hyperlink"/>
                <w:noProof/>
              </w:rPr>
              <w:t>2.5.</w:t>
            </w:r>
            <w:r w:rsidR="00547F7B">
              <w:rPr>
                <w:rFonts w:asciiTheme="minorHAnsi" w:eastAsiaTheme="minorEastAsia" w:hAnsiTheme="minorHAnsi" w:cstheme="minorBidi"/>
                <w:b w:val="0"/>
                <w:bCs w:val="0"/>
                <w:noProof/>
              </w:rPr>
              <w:tab/>
            </w:r>
            <w:r w:rsidR="00547F7B" w:rsidRPr="009722D3">
              <w:rPr>
                <w:rStyle w:val="Hyperlink"/>
                <w:noProof/>
              </w:rPr>
              <w:t>Dinamika aktivnog mjesta</w:t>
            </w:r>
            <w:r w:rsidR="00547F7B">
              <w:rPr>
                <w:noProof/>
                <w:webHidden/>
              </w:rPr>
              <w:tab/>
            </w:r>
            <w:r w:rsidR="00547F7B">
              <w:rPr>
                <w:noProof/>
                <w:webHidden/>
              </w:rPr>
              <w:fldChar w:fldCharType="begin"/>
            </w:r>
            <w:r w:rsidR="00547F7B">
              <w:rPr>
                <w:noProof/>
                <w:webHidden/>
              </w:rPr>
              <w:instrText xml:space="preserve"> PAGEREF _Toc101271717 \h </w:instrText>
            </w:r>
            <w:r w:rsidR="00547F7B">
              <w:rPr>
                <w:noProof/>
                <w:webHidden/>
              </w:rPr>
            </w:r>
            <w:r w:rsidR="00547F7B">
              <w:rPr>
                <w:noProof/>
                <w:webHidden/>
              </w:rPr>
              <w:fldChar w:fldCharType="separate"/>
            </w:r>
            <w:r w:rsidR="00547F7B">
              <w:rPr>
                <w:noProof/>
                <w:webHidden/>
              </w:rPr>
              <w:t>14</w:t>
            </w:r>
            <w:r w:rsidR="00547F7B">
              <w:rPr>
                <w:noProof/>
                <w:webHidden/>
              </w:rPr>
              <w:fldChar w:fldCharType="end"/>
            </w:r>
          </w:hyperlink>
        </w:p>
        <w:p w14:paraId="4AA5841B" w14:textId="2D9F856B" w:rsidR="00547F7B" w:rsidRDefault="008D7582">
          <w:pPr>
            <w:pStyle w:val="TOC2"/>
            <w:rPr>
              <w:rFonts w:asciiTheme="minorHAnsi" w:eastAsiaTheme="minorEastAsia" w:hAnsiTheme="minorHAnsi" w:cstheme="minorBidi"/>
              <w:b w:val="0"/>
              <w:bCs w:val="0"/>
              <w:noProof/>
            </w:rPr>
          </w:pPr>
          <w:hyperlink w:anchor="_Toc101271718" w:history="1">
            <w:r w:rsidR="00547F7B" w:rsidRPr="009722D3">
              <w:rPr>
                <w:rStyle w:val="Hyperlink"/>
                <w:noProof/>
              </w:rPr>
              <w:t>2.6.</w:t>
            </w:r>
            <w:r w:rsidR="00547F7B">
              <w:rPr>
                <w:rFonts w:asciiTheme="minorHAnsi" w:eastAsiaTheme="minorEastAsia" w:hAnsiTheme="minorHAnsi" w:cstheme="minorBidi"/>
                <w:b w:val="0"/>
                <w:bCs w:val="0"/>
                <w:noProof/>
              </w:rPr>
              <w:tab/>
            </w:r>
            <w:r w:rsidR="00547F7B" w:rsidRPr="009722D3">
              <w:rPr>
                <w:rStyle w:val="Hyperlink"/>
                <w:noProof/>
              </w:rPr>
              <w:t>Ostale uloge β-sekretaza</w:t>
            </w:r>
            <w:r w:rsidR="00547F7B">
              <w:rPr>
                <w:noProof/>
                <w:webHidden/>
              </w:rPr>
              <w:tab/>
            </w:r>
            <w:r w:rsidR="00547F7B">
              <w:rPr>
                <w:noProof/>
                <w:webHidden/>
              </w:rPr>
              <w:fldChar w:fldCharType="begin"/>
            </w:r>
            <w:r w:rsidR="00547F7B">
              <w:rPr>
                <w:noProof/>
                <w:webHidden/>
              </w:rPr>
              <w:instrText xml:space="preserve"> PAGEREF _Toc101271718 \h </w:instrText>
            </w:r>
            <w:r w:rsidR="00547F7B">
              <w:rPr>
                <w:noProof/>
                <w:webHidden/>
              </w:rPr>
            </w:r>
            <w:r w:rsidR="00547F7B">
              <w:rPr>
                <w:noProof/>
                <w:webHidden/>
              </w:rPr>
              <w:fldChar w:fldCharType="separate"/>
            </w:r>
            <w:r w:rsidR="00547F7B">
              <w:rPr>
                <w:noProof/>
                <w:webHidden/>
              </w:rPr>
              <w:t>16</w:t>
            </w:r>
            <w:r w:rsidR="00547F7B">
              <w:rPr>
                <w:noProof/>
                <w:webHidden/>
              </w:rPr>
              <w:fldChar w:fldCharType="end"/>
            </w:r>
          </w:hyperlink>
        </w:p>
        <w:p w14:paraId="4AC9CD95" w14:textId="60E52083" w:rsidR="00547F7B" w:rsidRDefault="008D7582">
          <w:pPr>
            <w:pStyle w:val="TOC1"/>
            <w:rPr>
              <w:rFonts w:asciiTheme="minorHAnsi" w:eastAsiaTheme="minorEastAsia" w:hAnsiTheme="minorHAnsi" w:cstheme="minorBidi"/>
              <w:b w:val="0"/>
              <w:bCs w:val="0"/>
              <w:caps w:val="0"/>
              <w:color w:val="auto"/>
              <w:sz w:val="22"/>
              <w:szCs w:val="22"/>
            </w:rPr>
          </w:pPr>
          <w:hyperlink w:anchor="_Toc101271719" w:history="1">
            <w:r w:rsidR="00547F7B" w:rsidRPr="009722D3">
              <w:rPr>
                <w:rStyle w:val="Hyperlink"/>
              </w:rPr>
              <w:t>§ 3.</w:t>
            </w:r>
            <w:r w:rsidR="00547F7B">
              <w:rPr>
                <w:rFonts w:asciiTheme="minorHAnsi" w:eastAsiaTheme="minorEastAsia" w:hAnsiTheme="minorHAnsi" w:cstheme="minorBidi"/>
                <w:b w:val="0"/>
                <w:bCs w:val="0"/>
                <w:caps w:val="0"/>
                <w:color w:val="auto"/>
                <w:sz w:val="22"/>
                <w:szCs w:val="22"/>
              </w:rPr>
              <w:tab/>
            </w:r>
            <w:r w:rsidR="00547F7B" w:rsidRPr="009722D3">
              <w:rPr>
                <w:rStyle w:val="Hyperlink"/>
              </w:rPr>
              <w:t>Razvoj inhibitora β-sekretaza</w:t>
            </w:r>
            <w:r w:rsidR="00547F7B">
              <w:rPr>
                <w:webHidden/>
              </w:rPr>
              <w:tab/>
            </w:r>
            <w:r w:rsidR="00547F7B">
              <w:rPr>
                <w:webHidden/>
              </w:rPr>
              <w:fldChar w:fldCharType="begin"/>
            </w:r>
            <w:r w:rsidR="00547F7B">
              <w:rPr>
                <w:webHidden/>
              </w:rPr>
              <w:instrText xml:space="preserve"> PAGEREF _Toc101271719 \h </w:instrText>
            </w:r>
            <w:r w:rsidR="00547F7B">
              <w:rPr>
                <w:webHidden/>
              </w:rPr>
            </w:r>
            <w:r w:rsidR="00547F7B">
              <w:rPr>
                <w:webHidden/>
              </w:rPr>
              <w:fldChar w:fldCharType="separate"/>
            </w:r>
            <w:r w:rsidR="00547F7B">
              <w:rPr>
                <w:webHidden/>
              </w:rPr>
              <w:t>18</w:t>
            </w:r>
            <w:r w:rsidR="00547F7B">
              <w:rPr>
                <w:webHidden/>
              </w:rPr>
              <w:fldChar w:fldCharType="end"/>
            </w:r>
          </w:hyperlink>
        </w:p>
        <w:p w14:paraId="3AE0BBCC" w14:textId="3E7E0FA8" w:rsidR="00547F7B" w:rsidRDefault="008D7582">
          <w:pPr>
            <w:pStyle w:val="TOC2"/>
            <w:rPr>
              <w:rFonts w:asciiTheme="minorHAnsi" w:eastAsiaTheme="minorEastAsia" w:hAnsiTheme="minorHAnsi" w:cstheme="minorBidi"/>
              <w:b w:val="0"/>
              <w:bCs w:val="0"/>
              <w:noProof/>
            </w:rPr>
          </w:pPr>
          <w:hyperlink w:anchor="_Toc101271720" w:history="1">
            <w:r w:rsidR="00547F7B" w:rsidRPr="009722D3">
              <w:rPr>
                <w:rStyle w:val="Hyperlink"/>
                <w:noProof/>
              </w:rPr>
              <w:t>3.1.</w:t>
            </w:r>
            <w:r w:rsidR="00547F7B">
              <w:rPr>
                <w:rFonts w:asciiTheme="minorHAnsi" w:eastAsiaTheme="minorEastAsia" w:hAnsiTheme="minorHAnsi" w:cstheme="minorBidi"/>
                <w:b w:val="0"/>
                <w:bCs w:val="0"/>
                <w:noProof/>
              </w:rPr>
              <w:tab/>
            </w:r>
            <w:r w:rsidR="00547F7B" w:rsidRPr="009722D3">
              <w:rPr>
                <w:rStyle w:val="Hyperlink"/>
                <w:noProof/>
              </w:rPr>
              <w:t>Inhibicija β-sekretaze</w:t>
            </w:r>
            <w:r w:rsidR="00547F7B">
              <w:rPr>
                <w:noProof/>
                <w:webHidden/>
              </w:rPr>
              <w:tab/>
            </w:r>
            <w:r w:rsidR="00547F7B">
              <w:rPr>
                <w:noProof/>
                <w:webHidden/>
              </w:rPr>
              <w:fldChar w:fldCharType="begin"/>
            </w:r>
            <w:r w:rsidR="00547F7B">
              <w:rPr>
                <w:noProof/>
                <w:webHidden/>
              </w:rPr>
              <w:instrText xml:space="preserve"> PAGEREF _Toc101271720 \h </w:instrText>
            </w:r>
            <w:r w:rsidR="00547F7B">
              <w:rPr>
                <w:noProof/>
                <w:webHidden/>
              </w:rPr>
            </w:r>
            <w:r w:rsidR="00547F7B">
              <w:rPr>
                <w:noProof/>
                <w:webHidden/>
              </w:rPr>
              <w:fldChar w:fldCharType="separate"/>
            </w:r>
            <w:r w:rsidR="00547F7B">
              <w:rPr>
                <w:noProof/>
                <w:webHidden/>
              </w:rPr>
              <w:t>20</w:t>
            </w:r>
            <w:r w:rsidR="00547F7B">
              <w:rPr>
                <w:noProof/>
                <w:webHidden/>
              </w:rPr>
              <w:fldChar w:fldCharType="end"/>
            </w:r>
          </w:hyperlink>
        </w:p>
        <w:p w14:paraId="5A9165D0" w14:textId="43CBBC9E" w:rsidR="00547F7B" w:rsidRDefault="008D7582">
          <w:pPr>
            <w:pStyle w:val="TOC2"/>
            <w:rPr>
              <w:rFonts w:asciiTheme="minorHAnsi" w:eastAsiaTheme="minorEastAsia" w:hAnsiTheme="minorHAnsi" w:cstheme="minorBidi"/>
              <w:b w:val="0"/>
              <w:bCs w:val="0"/>
              <w:noProof/>
            </w:rPr>
          </w:pPr>
          <w:hyperlink w:anchor="_Toc101271721" w:history="1">
            <w:r w:rsidR="00547F7B" w:rsidRPr="009722D3">
              <w:rPr>
                <w:rStyle w:val="Hyperlink"/>
                <w:noProof/>
              </w:rPr>
              <w:t>3.2.</w:t>
            </w:r>
            <w:r w:rsidR="00547F7B">
              <w:rPr>
                <w:rFonts w:asciiTheme="minorHAnsi" w:eastAsiaTheme="minorEastAsia" w:hAnsiTheme="minorHAnsi" w:cstheme="minorBidi"/>
                <w:b w:val="0"/>
                <w:bCs w:val="0"/>
                <w:noProof/>
              </w:rPr>
              <w:tab/>
            </w:r>
            <w:r w:rsidR="00547F7B" w:rsidRPr="009722D3">
              <w:rPr>
                <w:rStyle w:val="Hyperlink"/>
                <w:noProof/>
              </w:rPr>
              <w:t>Pseudopeptidni inhibitori</w:t>
            </w:r>
            <w:r w:rsidR="00547F7B">
              <w:rPr>
                <w:noProof/>
                <w:webHidden/>
              </w:rPr>
              <w:tab/>
            </w:r>
            <w:r w:rsidR="00547F7B">
              <w:rPr>
                <w:noProof/>
                <w:webHidden/>
              </w:rPr>
              <w:fldChar w:fldCharType="begin"/>
            </w:r>
            <w:r w:rsidR="00547F7B">
              <w:rPr>
                <w:noProof/>
                <w:webHidden/>
              </w:rPr>
              <w:instrText xml:space="preserve"> PAGEREF _Toc101271721 \h </w:instrText>
            </w:r>
            <w:r w:rsidR="00547F7B">
              <w:rPr>
                <w:noProof/>
                <w:webHidden/>
              </w:rPr>
            </w:r>
            <w:r w:rsidR="00547F7B">
              <w:rPr>
                <w:noProof/>
                <w:webHidden/>
              </w:rPr>
              <w:fldChar w:fldCharType="separate"/>
            </w:r>
            <w:r w:rsidR="00547F7B">
              <w:rPr>
                <w:noProof/>
                <w:webHidden/>
              </w:rPr>
              <w:t>21</w:t>
            </w:r>
            <w:r w:rsidR="00547F7B">
              <w:rPr>
                <w:noProof/>
                <w:webHidden/>
              </w:rPr>
              <w:fldChar w:fldCharType="end"/>
            </w:r>
          </w:hyperlink>
        </w:p>
        <w:p w14:paraId="16FBBB33" w14:textId="2F6A025E" w:rsidR="00547F7B" w:rsidRDefault="008D7582">
          <w:pPr>
            <w:pStyle w:val="TOC3"/>
            <w:rPr>
              <w:rFonts w:asciiTheme="minorHAnsi" w:eastAsiaTheme="minorEastAsia" w:hAnsiTheme="minorHAnsi" w:cstheme="minorBidi"/>
              <w:i w:val="0"/>
              <w:iCs w:val="0"/>
              <w:noProof/>
            </w:rPr>
          </w:pPr>
          <w:hyperlink w:anchor="_Toc101271722" w:history="1">
            <w:r w:rsidR="00547F7B" w:rsidRPr="009722D3">
              <w:rPr>
                <w:rStyle w:val="Hyperlink"/>
                <w:noProof/>
              </w:rPr>
              <w:t>3.2.1.</w:t>
            </w:r>
            <w:r w:rsidR="00547F7B">
              <w:rPr>
                <w:rFonts w:asciiTheme="minorHAnsi" w:eastAsiaTheme="minorEastAsia" w:hAnsiTheme="minorHAnsi" w:cstheme="minorBidi"/>
                <w:i w:val="0"/>
                <w:iCs w:val="0"/>
                <w:noProof/>
              </w:rPr>
              <w:tab/>
            </w:r>
            <w:r w:rsidR="00547F7B" w:rsidRPr="009722D3">
              <w:rPr>
                <w:rStyle w:val="Hyperlink"/>
                <w:noProof/>
              </w:rPr>
              <w:t>Hidroksietilenski izosteri</w:t>
            </w:r>
            <w:r w:rsidR="00547F7B">
              <w:rPr>
                <w:noProof/>
                <w:webHidden/>
              </w:rPr>
              <w:tab/>
            </w:r>
            <w:r w:rsidR="00547F7B">
              <w:rPr>
                <w:noProof/>
                <w:webHidden/>
              </w:rPr>
              <w:fldChar w:fldCharType="begin"/>
            </w:r>
            <w:r w:rsidR="00547F7B">
              <w:rPr>
                <w:noProof/>
                <w:webHidden/>
              </w:rPr>
              <w:instrText xml:space="preserve"> PAGEREF _Toc101271722 \h </w:instrText>
            </w:r>
            <w:r w:rsidR="00547F7B">
              <w:rPr>
                <w:noProof/>
                <w:webHidden/>
              </w:rPr>
            </w:r>
            <w:r w:rsidR="00547F7B">
              <w:rPr>
                <w:noProof/>
                <w:webHidden/>
              </w:rPr>
              <w:fldChar w:fldCharType="separate"/>
            </w:r>
            <w:r w:rsidR="00547F7B">
              <w:rPr>
                <w:noProof/>
                <w:webHidden/>
              </w:rPr>
              <w:t>23</w:t>
            </w:r>
            <w:r w:rsidR="00547F7B">
              <w:rPr>
                <w:noProof/>
                <w:webHidden/>
              </w:rPr>
              <w:fldChar w:fldCharType="end"/>
            </w:r>
          </w:hyperlink>
        </w:p>
        <w:p w14:paraId="524956D0" w14:textId="18CB81B1" w:rsidR="00547F7B" w:rsidRDefault="008D7582">
          <w:pPr>
            <w:pStyle w:val="TOC3"/>
            <w:rPr>
              <w:rFonts w:asciiTheme="minorHAnsi" w:eastAsiaTheme="minorEastAsia" w:hAnsiTheme="minorHAnsi" w:cstheme="minorBidi"/>
              <w:i w:val="0"/>
              <w:iCs w:val="0"/>
              <w:noProof/>
            </w:rPr>
          </w:pPr>
          <w:hyperlink w:anchor="_Toc101271723" w:history="1">
            <w:r w:rsidR="00547F7B" w:rsidRPr="009722D3">
              <w:rPr>
                <w:rStyle w:val="Hyperlink"/>
                <w:noProof/>
              </w:rPr>
              <w:t>3.2.3.</w:t>
            </w:r>
            <w:r w:rsidR="00547F7B">
              <w:rPr>
                <w:rFonts w:asciiTheme="minorHAnsi" w:eastAsiaTheme="minorEastAsia" w:hAnsiTheme="minorHAnsi" w:cstheme="minorBidi"/>
                <w:i w:val="0"/>
                <w:iCs w:val="0"/>
                <w:noProof/>
              </w:rPr>
              <w:tab/>
            </w:r>
            <w:r w:rsidR="00547F7B" w:rsidRPr="009722D3">
              <w:rPr>
                <w:rStyle w:val="Hyperlink"/>
                <w:noProof/>
              </w:rPr>
              <w:t>Karbinaminski inhibitori</w:t>
            </w:r>
            <w:r w:rsidR="00547F7B">
              <w:rPr>
                <w:noProof/>
                <w:webHidden/>
              </w:rPr>
              <w:tab/>
            </w:r>
            <w:r w:rsidR="00547F7B">
              <w:rPr>
                <w:noProof/>
                <w:webHidden/>
              </w:rPr>
              <w:fldChar w:fldCharType="begin"/>
            </w:r>
            <w:r w:rsidR="00547F7B">
              <w:rPr>
                <w:noProof/>
                <w:webHidden/>
              </w:rPr>
              <w:instrText xml:space="preserve"> PAGEREF _Toc101271723 \h </w:instrText>
            </w:r>
            <w:r w:rsidR="00547F7B">
              <w:rPr>
                <w:noProof/>
                <w:webHidden/>
              </w:rPr>
            </w:r>
            <w:r w:rsidR="00547F7B">
              <w:rPr>
                <w:noProof/>
                <w:webHidden/>
              </w:rPr>
              <w:fldChar w:fldCharType="separate"/>
            </w:r>
            <w:r w:rsidR="00547F7B">
              <w:rPr>
                <w:noProof/>
                <w:webHidden/>
              </w:rPr>
              <w:t>24</w:t>
            </w:r>
            <w:r w:rsidR="00547F7B">
              <w:rPr>
                <w:noProof/>
                <w:webHidden/>
              </w:rPr>
              <w:fldChar w:fldCharType="end"/>
            </w:r>
          </w:hyperlink>
        </w:p>
        <w:p w14:paraId="629447BF" w14:textId="42FA1194" w:rsidR="00547F7B" w:rsidRDefault="008D7582">
          <w:pPr>
            <w:pStyle w:val="TOC3"/>
            <w:rPr>
              <w:rFonts w:asciiTheme="minorHAnsi" w:eastAsiaTheme="minorEastAsia" w:hAnsiTheme="minorHAnsi" w:cstheme="minorBidi"/>
              <w:i w:val="0"/>
              <w:iCs w:val="0"/>
              <w:noProof/>
            </w:rPr>
          </w:pPr>
          <w:hyperlink w:anchor="_Toc101271724" w:history="1">
            <w:r w:rsidR="00547F7B" w:rsidRPr="009722D3">
              <w:rPr>
                <w:rStyle w:val="Hyperlink"/>
                <w:noProof/>
              </w:rPr>
              <w:t>3.2.4.</w:t>
            </w:r>
            <w:r w:rsidR="00547F7B">
              <w:rPr>
                <w:rFonts w:asciiTheme="minorHAnsi" w:eastAsiaTheme="minorEastAsia" w:hAnsiTheme="minorHAnsi" w:cstheme="minorBidi"/>
                <w:i w:val="0"/>
                <w:iCs w:val="0"/>
                <w:noProof/>
              </w:rPr>
              <w:tab/>
            </w:r>
            <w:r w:rsidR="00547F7B" w:rsidRPr="009722D3">
              <w:rPr>
                <w:rStyle w:val="Hyperlink"/>
                <w:noProof/>
              </w:rPr>
              <w:t>Makrociklički inhibitori</w:t>
            </w:r>
            <w:r w:rsidR="00547F7B">
              <w:rPr>
                <w:noProof/>
                <w:webHidden/>
              </w:rPr>
              <w:tab/>
            </w:r>
            <w:r w:rsidR="00547F7B">
              <w:rPr>
                <w:noProof/>
                <w:webHidden/>
              </w:rPr>
              <w:fldChar w:fldCharType="begin"/>
            </w:r>
            <w:r w:rsidR="00547F7B">
              <w:rPr>
                <w:noProof/>
                <w:webHidden/>
              </w:rPr>
              <w:instrText xml:space="preserve"> PAGEREF _Toc101271724 \h </w:instrText>
            </w:r>
            <w:r w:rsidR="00547F7B">
              <w:rPr>
                <w:noProof/>
                <w:webHidden/>
              </w:rPr>
            </w:r>
            <w:r w:rsidR="00547F7B">
              <w:rPr>
                <w:noProof/>
                <w:webHidden/>
              </w:rPr>
              <w:fldChar w:fldCharType="separate"/>
            </w:r>
            <w:r w:rsidR="00547F7B">
              <w:rPr>
                <w:noProof/>
                <w:webHidden/>
              </w:rPr>
              <w:t>25</w:t>
            </w:r>
            <w:r w:rsidR="00547F7B">
              <w:rPr>
                <w:noProof/>
                <w:webHidden/>
              </w:rPr>
              <w:fldChar w:fldCharType="end"/>
            </w:r>
          </w:hyperlink>
        </w:p>
        <w:p w14:paraId="6D915096" w14:textId="43F6796D" w:rsidR="00547F7B" w:rsidRDefault="008D7582">
          <w:pPr>
            <w:pStyle w:val="TOC2"/>
            <w:rPr>
              <w:rFonts w:asciiTheme="minorHAnsi" w:eastAsiaTheme="minorEastAsia" w:hAnsiTheme="minorHAnsi" w:cstheme="minorBidi"/>
              <w:b w:val="0"/>
              <w:bCs w:val="0"/>
              <w:noProof/>
            </w:rPr>
          </w:pPr>
          <w:hyperlink w:anchor="_Toc101271725" w:history="1">
            <w:r w:rsidR="00547F7B" w:rsidRPr="009722D3">
              <w:rPr>
                <w:rStyle w:val="Hyperlink"/>
                <w:noProof/>
              </w:rPr>
              <w:t>3.3.</w:t>
            </w:r>
            <w:r w:rsidR="00547F7B">
              <w:rPr>
                <w:rFonts w:asciiTheme="minorHAnsi" w:eastAsiaTheme="minorEastAsia" w:hAnsiTheme="minorHAnsi" w:cstheme="minorBidi"/>
                <w:b w:val="0"/>
                <w:bCs w:val="0"/>
                <w:noProof/>
              </w:rPr>
              <w:tab/>
            </w:r>
            <w:r w:rsidR="00547F7B" w:rsidRPr="009722D3">
              <w:rPr>
                <w:rStyle w:val="Hyperlink"/>
                <w:noProof/>
              </w:rPr>
              <w:t>Nepeptidni inhibitori</w:t>
            </w:r>
            <w:r w:rsidR="00547F7B">
              <w:rPr>
                <w:noProof/>
                <w:webHidden/>
              </w:rPr>
              <w:tab/>
            </w:r>
            <w:r w:rsidR="00547F7B">
              <w:rPr>
                <w:noProof/>
                <w:webHidden/>
              </w:rPr>
              <w:fldChar w:fldCharType="begin"/>
            </w:r>
            <w:r w:rsidR="00547F7B">
              <w:rPr>
                <w:noProof/>
                <w:webHidden/>
              </w:rPr>
              <w:instrText xml:space="preserve"> PAGEREF _Toc101271725 \h </w:instrText>
            </w:r>
            <w:r w:rsidR="00547F7B">
              <w:rPr>
                <w:noProof/>
                <w:webHidden/>
              </w:rPr>
            </w:r>
            <w:r w:rsidR="00547F7B">
              <w:rPr>
                <w:noProof/>
                <w:webHidden/>
              </w:rPr>
              <w:fldChar w:fldCharType="separate"/>
            </w:r>
            <w:r w:rsidR="00547F7B">
              <w:rPr>
                <w:noProof/>
                <w:webHidden/>
              </w:rPr>
              <w:t>26</w:t>
            </w:r>
            <w:r w:rsidR="00547F7B">
              <w:rPr>
                <w:noProof/>
                <w:webHidden/>
              </w:rPr>
              <w:fldChar w:fldCharType="end"/>
            </w:r>
          </w:hyperlink>
        </w:p>
        <w:p w14:paraId="7ACD8166" w14:textId="24349CC2" w:rsidR="00547F7B" w:rsidRDefault="008D7582">
          <w:pPr>
            <w:pStyle w:val="TOC3"/>
            <w:rPr>
              <w:rFonts w:asciiTheme="minorHAnsi" w:eastAsiaTheme="minorEastAsia" w:hAnsiTheme="minorHAnsi" w:cstheme="minorBidi"/>
              <w:i w:val="0"/>
              <w:iCs w:val="0"/>
              <w:noProof/>
            </w:rPr>
          </w:pPr>
          <w:hyperlink w:anchor="_Toc101271726" w:history="1">
            <w:r w:rsidR="00547F7B" w:rsidRPr="009722D3">
              <w:rPr>
                <w:rStyle w:val="Hyperlink"/>
                <w:noProof/>
              </w:rPr>
              <w:t>3.3.1.</w:t>
            </w:r>
            <w:r w:rsidR="00547F7B">
              <w:rPr>
                <w:rFonts w:asciiTheme="minorHAnsi" w:eastAsiaTheme="minorEastAsia" w:hAnsiTheme="minorHAnsi" w:cstheme="minorBidi"/>
                <w:i w:val="0"/>
                <w:iCs w:val="0"/>
                <w:noProof/>
              </w:rPr>
              <w:tab/>
            </w:r>
            <w:r w:rsidR="00547F7B" w:rsidRPr="009722D3">
              <w:rPr>
                <w:rStyle w:val="Hyperlink"/>
                <w:noProof/>
              </w:rPr>
              <w:t>Inhibitori s acilgvanidinskom okosnicom</w:t>
            </w:r>
            <w:r w:rsidR="00547F7B">
              <w:rPr>
                <w:noProof/>
                <w:webHidden/>
              </w:rPr>
              <w:tab/>
            </w:r>
            <w:r w:rsidR="00547F7B">
              <w:rPr>
                <w:noProof/>
                <w:webHidden/>
              </w:rPr>
              <w:fldChar w:fldCharType="begin"/>
            </w:r>
            <w:r w:rsidR="00547F7B">
              <w:rPr>
                <w:noProof/>
                <w:webHidden/>
              </w:rPr>
              <w:instrText xml:space="preserve"> PAGEREF _Toc101271726 \h </w:instrText>
            </w:r>
            <w:r w:rsidR="00547F7B">
              <w:rPr>
                <w:noProof/>
                <w:webHidden/>
              </w:rPr>
            </w:r>
            <w:r w:rsidR="00547F7B">
              <w:rPr>
                <w:noProof/>
                <w:webHidden/>
              </w:rPr>
              <w:fldChar w:fldCharType="separate"/>
            </w:r>
            <w:r w:rsidR="00547F7B">
              <w:rPr>
                <w:noProof/>
                <w:webHidden/>
              </w:rPr>
              <w:t>26</w:t>
            </w:r>
            <w:r w:rsidR="00547F7B">
              <w:rPr>
                <w:noProof/>
                <w:webHidden/>
              </w:rPr>
              <w:fldChar w:fldCharType="end"/>
            </w:r>
          </w:hyperlink>
        </w:p>
        <w:p w14:paraId="38EA3073" w14:textId="6BEFB17E" w:rsidR="00547F7B" w:rsidRDefault="008D7582">
          <w:pPr>
            <w:pStyle w:val="TOC3"/>
            <w:rPr>
              <w:rFonts w:asciiTheme="minorHAnsi" w:eastAsiaTheme="minorEastAsia" w:hAnsiTheme="minorHAnsi" w:cstheme="minorBidi"/>
              <w:i w:val="0"/>
              <w:iCs w:val="0"/>
              <w:noProof/>
            </w:rPr>
          </w:pPr>
          <w:hyperlink w:anchor="_Toc101271727" w:history="1">
            <w:r w:rsidR="00547F7B" w:rsidRPr="009722D3">
              <w:rPr>
                <w:rStyle w:val="Hyperlink"/>
                <w:noProof/>
              </w:rPr>
              <w:t>3.3.2.</w:t>
            </w:r>
            <w:r w:rsidR="00547F7B">
              <w:rPr>
                <w:rFonts w:asciiTheme="minorHAnsi" w:eastAsiaTheme="minorEastAsia" w:hAnsiTheme="minorHAnsi" w:cstheme="minorBidi"/>
                <w:i w:val="0"/>
                <w:iCs w:val="0"/>
                <w:noProof/>
              </w:rPr>
              <w:tab/>
            </w:r>
            <w:r w:rsidR="00547F7B" w:rsidRPr="009722D3">
              <w:rPr>
                <w:rStyle w:val="Hyperlink"/>
                <w:noProof/>
              </w:rPr>
              <w:t>Inhibitori s aminokinazolinskom okosnicom</w:t>
            </w:r>
            <w:r w:rsidR="00547F7B">
              <w:rPr>
                <w:noProof/>
                <w:webHidden/>
              </w:rPr>
              <w:tab/>
            </w:r>
            <w:r w:rsidR="00547F7B">
              <w:rPr>
                <w:noProof/>
                <w:webHidden/>
              </w:rPr>
              <w:fldChar w:fldCharType="begin"/>
            </w:r>
            <w:r w:rsidR="00547F7B">
              <w:rPr>
                <w:noProof/>
                <w:webHidden/>
              </w:rPr>
              <w:instrText xml:space="preserve"> PAGEREF _Toc101271727 \h </w:instrText>
            </w:r>
            <w:r w:rsidR="00547F7B">
              <w:rPr>
                <w:noProof/>
                <w:webHidden/>
              </w:rPr>
            </w:r>
            <w:r w:rsidR="00547F7B">
              <w:rPr>
                <w:noProof/>
                <w:webHidden/>
              </w:rPr>
              <w:fldChar w:fldCharType="separate"/>
            </w:r>
            <w:r w:rsidR="00547F7B">
              <w:rPr>
                <w:noProof/>
                <w:webHidden/>
              </w:rPr>
              <w:t>27</w:t>
            </w:r>
            <w:r w:rsidR="00547F7B">
              <w:rPr>
                <w:noProof/>
                <w:webHidden/>
              </w:rPr>
              <w:fldChar w:fldCharType="end"/>
            </w:r>
          </w:hyperlink>
        </w:p>
        <w:p w14:paraId="0B517223" w14:textId="475DCF10" w:rsidR="00547F7B" w:rsidRDefault="008D7582">
          <w:pPr>
            <w:pStyle w:val="TOC2"/>
            <w:rPr>
              <w:rFonts w:asciiTheme="minorHAnsi" w:eastAsiaTheme="minorEastAsia" w:hAnsiTheme="minorHAnsi" w:cstheme="minorBidi"/>
              <w:b w:val="0"/>
              <w:bCs w:val="0"/>
              <w:noProof/>
            </w:rPr>
          </w:pPr>
          <w:hyperlink w:anchor="_Toc101271728" w:history="1">
            <w:r w:rsidR="00547F7B" w:rsidRPr="009722D3">
              <w:rPr>
                <w:rStyle w:val="Hyperlink"/>
                <w:noProof/>
              </w:rPr>
              <w:t>3.4.</w:t>
            </w:r>
            <w:r w:rsidR="00547F7B">
              <w:rPr>
                <w:rFonts w:asciiTheme="minorHAnsi" w:eastAsiaTheme="minorEastAsia" w:hAnsiTheme="minorHAnsi" w:cstheme="minorBidi"/>
                <w:b w:val="0"/>
                <w:bCs w:val="0"/>
                <w:noProof/>
              </w:rPr>
              <w:tab/>
            </w:r>
            <w:r w:rsidR="00547F7B" w:rsidRPr="009722D3">
              <w:rPr>
                <w:rStyle w:val="Hyperlink"/>
                <w:noProof/>
              </w:rPr>
              <w:t>Višeciljni inhibitori</w:t>
            </w:r>
            <w:r w:rsidR="00547F7B">
              <w:rPr>
                <w:noProof/>
                <w:webHidden/>
              </w:rPr>
              <w:tab/>
            </w:r>
            <w:r w:rsidR="00547F7B">
              <w:rPr>
                <w:noProof/>
                <w:webHidden/>
              </w:rPr>
              <w:fldChar w:fldCharType="begin"/>
            </w:r>
            <w:r w:rsidR="00547F7B">
              <w:rPr>
                <w:noProof/>
                <w:webHidden/>
              </w:rPr>
              <w:instrText xml:space="preserve"> PAGEREF _Toc101271728 \h </w:instrText>
            </w:r>
            <w:r w:rsidR="00547F7B">
              <w:rPr>
                <w:noProof/>
                <w:webHidden/>
              </w:rPr>
            </w:r>
            <w:r w:rsidR="00547F7B">
              <w:rPr>
                <w:noProof/>
                <w:webHidden/>
              </w:rPr>
              <w:fldChar w:fldCharType="separate"/>
            </w:r>
            <w:r w:rsidR="00547F7B">
              <w:rPr>
                <w:noProof/>
                <w:webHidden/>
              </w:rPr>
              <w:t>27</w:t>
            </w:r>
            <w:r w:rsidR="00547F7B">
              <w:rPr>
                <w:noProof/>
                <w:webHidden/>
              </w:rPr>
              <w:fldChar w:fldCharType="end"/>
            </w:r>
          </w:hyperlink>
        </w:p>
        <w:p w14:paraId="4E9471B2" w14:textId="22A81615" w:rsidR="00547F7B" w:rsidRDefault="008D7582">
          <w:pPr>
            <w:pStyle w:val="TOC2"/>
            <w:rPr>
              <w:rFonts w:asciiTheme="minorHAnsi" w:eastAsiaTheme="minorEastAsia" w:hAnsiTheme="minorHAnsi" w:cstheme="minorBidi"/>
              <w:b w:val="0"/>
              <w:bCs w:val="0"/>
              <w:noProof/>
            </w:rPr>
          </w:pPr>
          <w:hyperlink w:anchor="_Toc101271729" w:history="1">
            <w:r w:rsidR="00547F7B" w:rsidRPr="009722D3">
              <w:rPr>
                <w:rStyle w:val="Hyperlink"/>
                <w:noProof/>
              </w:rPr>
              <w:t>3.5.</w:t>
            </w:r>
            <w:r w:rsidR="00547F7B">
              <w:rPr>
                <w:rFonts w:asciiTheme="minorHAnsi" w:eastAsiaTheme="minorEastAsia" w:hAnsiTheme="minorHAnsi" w:cstheme="minorBidi"/>
                <w:b w:val="0"/>
                <w:bCs w:val="0"/>
                <w:noProof/>
              </w:rPr>
              <w:tab/>
            </w:r>
            <w:r w:rsidR="00547F7B" w:rsidRPr="009722D3">
              <w:rPr>
                <w:rStyle w:val="Hyperlink"/>
                <w:noProof/>
              </w:rPr>
              <w:t>Klinička ispitivanja inhibitora β-sekretaze</w:t>
            </w:r>
            <w:r w:rsidR="00547F7B">
              <w:rPr>
                <w:noProof/>
                <w:webHidden/>
              </w:rPr>
              <w:tab/>
            </w:r>
            <w:r w:rsidR="00547F7B">
              <w:rPr>
                <w:noProof/>
                <w:webHidden/>
              </w:rPr>
              <w:fldChar w:fldCharType="begin"/>
            </w:r>
            <w:r w:rsidR="00547F7B">
              <w:rPr>
                <w:noProof/>
                <w:webHidden/>
              </w:rPr>
              <w:instrText xml:space="preserve"> PAGEREF _Toc101271729 \h </w:instrText>
            </w:r>
            <w:r w:rsidR="00547F7B">
              <w:rPr>
                <w:noProof/>
                <w:webHidden/>
              </w:rPr>
            </w:r>
            <w:r w:rsidR="00547F7B">
              <w:rPr>
                <w:noProof/>
                <w:webHidden/>
              </w:rPr>
              <w:fldChar w:fldCharType="separate"/>
            </w:r>
            <w:r w:rsidR="00547F7B">
              <w:rPr>
                <w:noProof/>
                <w:webHidden/>
              </w:rPr>
              <w:t>28</w:t>
            </w:r>
            <w:r w:rsidR="00547F7B">
              <w:rPr>
                <w:noProof/>
                <w:webHidden/>
              </w:rPr>
              <w:fldChar w:fldCharType="end"/>
            </w:r>
          </w:hyperlink>
        </w:p>
        <w:p w14:paraId="2FDA905B" w14:textId="00BA661A" w:rsidR="00547F7B" w:rsidRDefault="008D7582">
          <w:pPr>
            <w:pStyle w:val="TOC1"/>
            <w:rPr>
              <w:rFonts w:asciiTheme="minorHAnsi" w:eastAsiaTheme="minorEastAsia" w:hAnsiTheme="minorHAnsi" w:cstheme="minorBidi"/>
              <w:b w:val="0"/>
              <w:bCs w:val="0"/>
              <w:caps w:val="0"/>
              <w:color w:val="auto"/>
              <w:sz w:val="22"/>
              <w:szCs w:val="22"/>
            </w:rPr>
          </w:pPr>
          <w:hyperlink w:anchor="_Toc101271730" w:history="1">
            <w:r w:rsidR="00547F7B" w:rsidRPr="009722D3">
              <w:rPr>
                <w:rStyle w:val="Hyperlink"/>
              </w:rPr>
              <w:t>§ 4.</w:t>
            </w:r>
            <w:r w:rsidR="00547F7B">
              <w:rPr>
                <w:rFonts w:asciiTheme="minorHAnsi" w:eastAsiaTheme="minorEastAsia" w:hAnsiTheme="minorHAnsi" w:cstheme="minorBidi"/>
                <w:b w:val="0"/>
                <w:bCs w:val="0"/>
                <w:caps w:val="0"/>
                <w:color w:val="auto"/>
                <w:sz w:val="22"/>
                <w:szCs w:val="22"/>
              </w:rPr>
              <w:tab/>
            </w:r>
            <w:r w:rsidR="00547F7B" w:rsidRPr="009722D3">
              <w:rPr>
                <w:rStyle w:val="Hyperlink"/>
              </w:rPr>
              <w:t>Zaključak</w:t>
            </w:r>
            <w:r w:rsidR="00547F7B">
              <w:rPr>
                <w:webHidden/>
              </w:rPr>
              <w:tab/>
            </w:r>
            <w:r w:rsidR="00547F7B">
              <w:rPr>
                <w:webHidden/>
              </w:rPr>
              <w:fldChar w:fldCharType="begin"/>
            </w:r>
            <w:r w:rsidR="00547F7B">
              <w:rPr>
                <w:webHidden/>
              </w:rPr>
              <w:instrText xml:space="preserve"> PAGEREF _Toc101271730 \h </w:instrText>
            </w:r>
            <w:r w:rsidR="00547F7B">
              <w:rPr>
                <w:webHidden/>
              </w:rPr>
            </w:r>
            <w:r w:rsidR="00547F7B">
              <w:rPr>
                <w:webHidden/>
              </w:rPr>
              <w:fldChar w:fldCharType="separate"/>
            </w:r>
            <w:r w:rsidR="00547F7B">
              <w:rPr>
                <w:webHidden/>
              </w:rPr>
              <w:t>31</w:t>
            </w:r>
            <w:r w:rsidR="00547F7B">
              <w:rPr>
                <w:webHidden/>
              </w:rPr>
              <w:fldChar w:fldCharType="end"/>
            </w:r>
          </w:hyperlink>
        </w:p>
        <w:p w14:paraId="6EE0D2F7" w14:textId="7D84D6B1" w:rsidR="00547F7B" w:rsidRDefault="008D7582">
          <w:pPr>
            <w:pStyle w:val="TOC1"/>
            <w:rPr>
              <w:rFonts w:asciiTheme="minorHAnsi" w:eastAsiaTheme="minorEastAsia" w:hAnsiTheme="minorHAnsi" w:cstheme="minorBidi"/>
              <w:b w:val="0"/>
              <w:bCs w:val="0"/>
              <w:caps w:val="0"/>
              <w:color w:val="auto"/>
              <w:sz w:val="22"/>
              <w:szCs w:val="22"/>
            </w:rPr>
          </w:pPr>
          <w:hyperlink w:anchor="_Toc101271731" w:history="1">
            <w:r w:rsidR="00547F7B" w:rsidRPr="009722D3">
              <w:rPr>
                <w:rStyle w:val="Hyperlink"/>
              </w:rPr>
              <w:t>§ 5.</w:t>
            </w:r>
            <w:r w:rsidR="00547F7B">
              <w:rPr>
                <w:rFonts w:asciiTheme="minorHAnsi" w:eastAsiaTheme="minorEastAsia" w:hAnsiTheme="minorHAnsi" w:cstheme="minorBidi"/>
                <w:b w:val="0"/>
                <w:bCs w:val="0"/>
                <w:caps w:val="0"/>
                <w:color w:val="auto"/>
                <w:sz w:val="22"/>
                <w:szCs w:val="22"/>
              </w:rPr>
              <w:tab/>
            </w:r>
            <w:r w:rsidR="00547F7B" w:rsidRPr="009722D3">
              <w:rPr>
                <w:rStyle w:val="Hyperlink"/>
              </w:rPr>
              <w:t>LITERATURNI IZVORI</w:t>
            </w:r>
            <w:r w:rsidR="00547F7B">
              <w:rPr>
                <w:webHidden/>
              </w:rPr>
              <w:tab/>
            </w:r>
            <w:r w:rsidR="00547F7B">
              <w:rPr>
                <w:webHidden/>
              </w:rPr>
              <w:fldChar w:fldCharType="begin"/>
            </w:r>
            <w:r w:rsidR="00547F7B">
              <w:rPr>
                <w:webHidden/>
              </w:rPr>
              <w:instrText xml:space="preserve"> PAGEREF _Toc101271731 \h </w:instrText>
            </w:r>
            <w:r w:rsidR="00547F7B">
              <w:rPr>
                <w:webHidden/>
              </w:rPr>
            </w:r>
            <w:r w:rsidR="00547F7B">
              <w:rPr>
                <w:webHidden/>
              </w:rPr>
              <w:fldChar w:fldCharType="separate"/>
            </w:r>
            <w:r w:rsidR="00547F7B">
              <w:rPr>
                <w:webHidden/>
              </w:rPr>
              <w:t>xxxii</w:t>
            </w:r>
            <w:r w:rsidR="00547F7B">
              <w:rPr>
                <w:webHidden/>
              </w:rPr>
              <w:fldChar w:fldCharType="end"/>
            </w:r>
          </w:hyperlink>
        </w:p>
        <w:p w14:paraId="6304F2C0" w14:textId="425A57E8" w:rsidR="00171E1F" w:rsidRDefault="00171E1F">
          <w:r>
            <w:rPr>
              <w:b/>
              <w:bCs/>
              <w:noProof/>
            </w:rPr>
            <w:fldChar w:fldCharType="end"/>
          </w:r>
        </w:p>
      </w:sdtContent>
    </w:sdt>
    <w:p w14:paraId="4FE18864" w14:textId="77777777" w:rsidR="00424536" w:rsidRPr="00A907CF" w:rsidRDefault="00424536" w:rsidP="00D7721A">
      <w:pPr>
        <w:pStyle w:val="OCJENSKIRADOVIFontParagraph"/>
        <w:tabs>
          <w:tab w:val="left" w:pos="567"/>
          <w:tab w:val="right" w:leader="dot" w:pos="9072"/>
        </w:tabs>
        <w:spacing w:before="120"/>
        <w:outlineLvl w:val="0"/>
        <w:rPr>
          <w:rStyle w:val="OCJENSKIRADOVIFontCharacter"/>
          <w:b/>
          <w:bCs/>
          <w:caps/>
          <w:noProof/>
          <w:color w:val="003399"/>
          <w:lang w:val="en-US"/>
        </w:rPr>
      </w:pPr>
    </w:p>
    <w:p w14:paraId="1A3A3999" w14:textId="77777777" w:rsidR="00424536" w:rsidRPr="00A44071" w:rsidRDefault="00424536" w:rsidP="0055198C">
      <w:pPr>
        <w:pStyle w:val="OCJENSKIRADOVIFontParagraph"/>
        <w:rPr>
          <w:noProof/>
        </w:rPr>
      </w:pPr>
    </w:p>
    <w:p w14:paraId="46C0712F" w14:textId="77777777" w:rsidR="00424536" w:rsidRDefault="007C3D4D" w:rsidP="003C13A3">
      <w:pPr>
        <w:rPr>
          <w:noProof/>
          <w:lang w:val="hr-HR"/>
        </w:rPr>
      </w:pP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p>
    <w:p w14:paraId="5FC2E04E" w14:textId="77777777" w:rsidR="007C3D4D" w:rsidRDefault="007C3D4D" w:rsidP="003C13A3">
      <w:pPr>
        <w:rPr>
          <w:noProof/>
          <w:lang w:val="hr-HR"/>
        </w:rPr>
      </w:pPr>
    </w:p>
    <w:p w14:paraId="5223EE12" w14:textId="77777777" w:rsidR="007C3D4D" w:rsidRDefault="007C3D4D" w:rsidP="003C13A3">
      <w:pPr>
        <w:rPr>
          <w:noProof/>
          <w:lang w:val="hr-HR"/>
        </w:rPr>
      </w:pP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p>
    <w:p w14:paraId="47710B4B" w14:textId="77777777" w:rsidR="00424536" w:rsidRPr="00A44071" w:rsidRDefault="00424536" w:rsidP="00BE117C">
      <w:pPr>
        <w:pStyle w:val="OCJENSKIRADOVIFontParagraph"/>
        <w:sectPr w:rsidR="00424536" w:rsidRPr="00A44071" w:rsidSect="00CF6BB4">
          <w:headerReference w:type="default" r:id="rId9"/>
          <w:footerReference w:type="default" r:id="rId10"/>
          <w:pgSz w:w="11907" w:h="16840" w:code="9"/>
          <w:pgMar w:top="1701" w:right="1418" w:bottom="1701" w:left="1418" w:header="1134" w:footer="1134" w:gutter="0"/>
          <w:cols w:space="708"/>
          <w:docGrid w:linePitch="360"/>
        </w:sectPr>
      </w:pPr>
    </w:p>
    <w:p w14:paraId="56CB2585" w14:textId="77777777" w:rsidR="00424536" w:rsidRDefault="00424536" w:rsidP="007E0FE4">
      <w:pPr>
        <w:pStyle w:val="OCJENSKIRADOVI1Naslovpoglavlja"/>
        <w:spacing w:before="120" w:after="240"/>
      </w:pPr>
      <w:bookmarkStart w:id="0" w:name="_Toc256085210"/>
      <w:bookmarkStart w:id="1" w:name="_Toc355955749"/>
      <w:bookmarkStart w:id="2" w:name="_Toc101271711"/>
      <w:r w:rsidRPr="00B55905">
        <w:lastRenderedPageBreak/>
        <w:t>UVOD</w:t>
      </w:r>
      <w:bookmarkEnd w:id="0"/>
      <w:bookmarkEnd w:id="1"/>
      <w:bookmarkEnd w:id="2"/>
    </w:p>
    <w:p w14:paraId="4A6B4106" w14:textId="77777777" w:rsidR="00733D27" w:rsidRPr="004D0141" w:rsidRDefault="00E83A6B" w:rsidP="0044240A">
      <w:pPr>
        <w:pStyle w:val="OCJENSKIRADOVIOdlomak3NASTAVAKODLOMKA"/>
        <w:rPr>
          <w:strike/>
        </w:rPr>
      </w:pPr>
      <w:r w:rsidRPr="00C61EC0">
        <w:t xml:space="preserve">Β-sekretaza (BACE1, EC 3.4.23.46) </w:t>
      </w:r>
      <w:r w:rsidR="00CC1F4C" w:rsidRPr="00C61EC0">
        <w:t>je transmembranski protein tipa I</w:t>
      </w:r>
      <w:r w:rsidR="00CC1F4C">
        <w:t xml:space="preserve"> koji pripada skupini aspartičnih proteaza</w:t>
      </w:r>
      <w:r w:rsidR="00387656">
        <w:t>.</w:t>
      </w:r>
      <w:r w:rsidR="00816BEB">
        <w:rPr>
          <w:vertAlign w:val="superscript"/>
        </w:rPr>
        <w:t xml:space="preserve">1 </w:t>
      </w:r>
      <w:r w:rsidR="00387656">
        <w:t>Ovoj skupini strukturno sličnih proteina</w:t>
      </w:r>
      <w:r w:rsidR="00385228">
        <w:t>,</w:t>
      </w:r>
      <w:r w:rsidR="00387656">
        <w:t xml:space="preserve"> uz β-sekretazu</w:t>
      </w:r>
      <w:r w:rsidR="00385228">
        <w:t>,</w:t>
      </w:r>
      <w:r w:rsidR="00387656">
        <w:t xml:space="preserve"> pripadaju još i enzimi poput pepsina, renina, katepsina D i E te njenog homologa BACE2</w:t>
      </w:r>
      <w:r w:rsidR="004D0141">
        <w:t xml:space="preserve">, a karakterizira ih </w:t>
      </w:r>
      <w:r w:rsidR="00E2779C">
        <w:t>po jedan katalitički aspartat u N- i C- terminalnoj domeni</w:t>
      </w:r>
      <w:r w:rsidR="00387656">
        <w:t>.</w:t>
      </w:r>
      <w:r w:rsidR="00816BEB">
        <w:rPr>
          <w:vertAlign w:val="superscript"/>
        </w:rPr>
        <w:t>1,2</w:t>
      </w:r>
      <w:r w:rsidR="004D0141">
        <w:t xml:space="preserve"> </w:t>
      </w:r>
      <w:r w:rsidR="00A8405B">
        <w:t xml:space="preserve">Proteolitičko djelovanje β-sekretaze na njene supstrate rezultira </w:t>
      </w:r>
      <w:r w:rsidR="00121941">
        <w:t>otpuštanjem fragmenta supstrata u vanstanični prostor gdje interagira s molekulama na istoj ili susjednoj stanici što za posljedicu ima pojačanje ili utišanje stanične signalizacije ili međustaničnih interakcija.</w:t>
      </w:r>
      <w:r w:rsidR="00816BEB">
        <w:rPr>
          <w:vertAlign w:val="superscript"/>
        </w:rPr>
        <w:t xml:space="preserve">3 </w:t>
      </w:r>
      <w:r w:rsidR="004C5426">
        <w:t>N</w:t>
      </w:r>
      <w:r w:rsidR="005E1DDB">
        <w:t>ajpoznatiji</w:t>
      </w:r>
      <w:r w:rsidR="00A10F3F">
        <w:t xml:space="preserve"> supstrat β-sekretaze je protein APP</w:t>
      </w:r>
      <w:r w:rsidR="004C5426">
        <w:t xml:space="preserve"> </w:t>
      </w:r>
      <w:r w:rsidR="00A10F3F">
        <w:t>(</w:t>
      </w:r>
      <w:r w:rsidR="00A10F3F">
        <w:rPr>
          <w:i/>
        </w:rPr>
        <w:t>amyloid precursor protein</w:t>
      </w:r>
      <w:r w:rsidR="00A10F3F">
        <w:t xml:space="preserve">), a osim njega poznato je da β-sekretaza katalizira proteolizu i drugih proteina poput </w:t>
      </w:r>
      <w:r w:rsidR="004C5426">
        <w:t>neuregulin</w:t>
      </w:r>
      <w:r w:rsidR="00A10F3F">
        <w:t>a</w:t>
      </w:r>
      <w:r w:rsidR="004C5426">
        <w:t>-1 (NRG1), P-selektin glikoprotein ligand</w:t>
      </w:r>
      <w:r w:rsidR="00A10F3F">
        <w:t>a</w:t>
      </w:r>
      <w:r w:rsidR="004C5426">
        <w:t>-1 (PSLG-1), sialilitransferaz</w:t>
      </w:r>
      <w:r w:rsidR="00A10F3F">
        <w:t>e</w:t>
      </w:r>
      <w:r w:rsidR="004C5426">
        <w:t xml:space="preserve"> (ST6Gal1), LRP (</w:t>
      </w:r>
      <w:r w:rsidR="004C5426" w:rsidRPr="005B63CD">
        <w:rPr>
          <w:i/>
          <w:u w:val="single"/>
        </w:rPr>
        <w:t>l</w:t>
      </w:r>
      <w:r w:rsidR="004C5426" w:rsidRPr="005B63CD">
        <w:rPr>
          <w:i/>
        </w:rPr>
        <w:t>ow-density lipoprotein receptor-</w:t>
      </w:r>
      <w:r w:rsidR="004C5426" w:rsidRPr="005B63CD">
        <w:rPr>
          <w:i/>
          <w:u w:val="single"/>
        </w:rPr>
        <w:t>r</w:t>
      </w:r>
      <w:r w:rsidR="004C5426" w:rsidRPr="005B63CD">
        <w:rPr>
          <w:i/>
        </w:rPr>
        <w:t xml:space="preserve">elated </w:t>
      </w:r>
      <w:r w:rsidR="004C5426" w:rsidRPr="005B63CD">
        <w:rPr>
          <w:i/>
          <w:u w:val="single"/>
        </w:rPr>
        <w:t>p</w:t>
      </w:r>
      <w:r w:rsidR="004C5426" w:rsidRPr="005B63CD">
        <w:rPr>
          <w:i/>
        </w:rPr>
        <w:t>rotein</w:t>
      </w:r>
      <w:r w:rsidR="004C5426">
        <w:t>)</w:t>
      </w:r>
      <w:r w:rsidR="004B16B1">
        <w:t xml:space="preserve">, </w:t>
      </w:r>
      <w:r w:rsidR="004C5426">
        <w:t>interleukin-1 receptor</w:t>
      </w:r>
      <w:r w:rsidR="00A10F3F">
        <w:t>a</w:t>
      </w:r>
      <w:r w:rsidR="004C5426">
        <w:t xml:space="preserve"> II (IL-1 R2), </w:t>
      </w:r>
      <w:r w:rsidR="004B16B1">
        <w:t>CHL1 (</w:t>
      </w:r>
      <w:r w:rsidR="004B16B1">
        <w:rPr>
          <w:i/>
        </w:rPr>
        <w:t>cell adhesion molecule 1</w:t>
      </w:r>
      <w:r w:rsidR="004B16B1">
        <w:t>) i JAG1 ligand</w:t>
      </w:r>
      <w:r w:rsidR="00A10F3F">
        <w:t>a</w:t>
      </w:r>
      <w:r w:rsidR="004B16B1">
        <w:t xml:space="preserve"> (</w:t>
      </w:r>
      <w:r w:rsidR="004B16B1">
        <w:rPr>
          <w:i/>
        </w:rPr>
        <w:t>Jagged1</w:t>
      </w:r>
      <w:r w:rsidR="004B16B1">
        <w:t>)</w:t>
      </w:r>
      <w:r w:rsidR="00816BEB">
        <w:t>.</w:t>
      </w:r>
      <w:r w:rsidR="00816BEB">
        <w:rPr>
          <w:vertAlign w:val="superscript"/>
        </w:rPr>
        <w:t>3,4</w:t>
      </w:r>
      <w:r w:rsidR="00F56B0A">
        <w:t xml:space="preserve"> Proteoliza proteina APP katalizirana β-sekretazom rezultira</w:t>
      </w:r>
      <w:r w:rsidR="00F604FC">
        <w:t xml:space="preserve"> nastankom topljivog β-fragmenta proteina APP (sAPPβ) i C-terminalnog fragmenta koji ostaje vezan za membranu (C99</w:t>
      </w:r>
      <w:r w:rsidR="00163A4F">
        <w:t>, CTF</w:t>
      </w:r>
      <w:r w:rsidR="00A10DDF">
        <w:t>β</w:t>
      </w:r>
      <w:r w:rsidR="00F604FC">
        <w:t>)</w:t>
      </w:r>
      <w:r w:rsidR="007B6778">
        <w:t xml:space="preserve">. Hidrolizom fragmenta C99 koju </w:t>
      </w:r>
      <w:r w:rsidR="00385228">
        <w:t xml:space="preserve">dalje </w:t>
      </w:r>
      <w:r w:rsidR="007B6778">
        <w:t xml:space="preserve">katalizira γ-sekretaza nastaju </w:t>
      </w:r>
      <w:r w:rsidR="00163A4F">
        <w:t>amiloidni β</w:t>
      </w:r>
      <w:r w:rsidR="007E2646">
        <w:t xml:space="preserve"> (Aβ)</w:t>
      </w:r>
      <w:r w:rsidR="00163A4F">
        <w:t xml:space="preserve"> peptidi </w:t>
      </w:r>
      <w:r w:rsidR="00A10DDF">
        <w:t>različitih duljina,</w:t>
      </w:r>
      <w:r w:rsidR="007B1222">
        <w:t xml:space="preserve"> </w:t>
      </w:r>
      <w:r w:rsidR="00385228">
        <w:t>pri čemu su</w:t>
      </w:r>
      <w:r w:rsidR="007B1222">
        <w:t xml:space="preserve"> najučestaliji oni duljine </w:t>
      </w:r>
      <w:r w:rsidR="007E2646">
        <w:t>od 40 i 42 aminokiseline.</w:t>
      </w:r>
      <w:r w:rsidR="00816BEB">
        <w:rPr>
          <w:vertAlign w:val="superscript"/>
        </w:rPr>
        <w:t>4</w:t>
      </w:r>
      <w:r w:rsidR="00163A4F">
        <w:t xml:space="preserve"> </w:t>
      </w:r>
      <w:r w:rsidR="007E2646">
        <w:t xml:space="preserve">Akumulacija </w:t>
      </w:r>
      <w:r w:rsidR="007D6DC1">
        <w:t>peptida Aβ</w:t>
      </w:r>
      <w:r w:rsidR="007E2646">
        <w:t xml:space="preserve"> rezultira njihovom agregacijom, u čemu prednjače peptidi Aβ42.</w:t>
      </w:r>
      <w:r w:rsidR="00816BEB">
        <w:rPr>
          <w:vertAlign w:val="superscript"/>
        </w:rPr>
        <w:t>1</w:t>
      </w:r>
      <w:r w:rsidR="007E2646">
        <w:t xml:space="preserve"> Istraživanja pokazuju da su agregati peptida Aβ42 glavni uzročnici nastanka amiloidnih odnosno senilnih plakova</w:t>
      </w:r>
      <w:r w:rsidR="00FD1F08">
        <w:t>, jedne od patofizioloških karakteristika Alzheimerove bolesti.</w:t>
      </w:r>
      <w:r w:rsidR="00816BEB">
        <w:rPr>
          <w:vertAlign w:val="superscript"/>
        </w:rPr>
        <w:t>1</w:t>
      </w:r>
      <w:r w:rsidR="00FD1F08">
        <w:t xml:space="preserve"> Upravo zbog činjenice da je proteoliza proteina APP potpomognuta β-sekretazom prvi korak u procesu nastanka amiloidnih β peptida, kao i korak koji ujedno limitira brzinu njihovog nastanka</w:t>
      </w:r>
      <w:r w:rsidR="00816BEB">
        <w:rPr>
          <w:vertAlign w:val="superscript"/>
        </w:rPr>
        <w:t>1</w:t>
      </w:r>
      <w:r w:rsidR="00FD1F08">
        <w:t>, β-sekretaza je postala predmet brojnih istraživanja i meta raznih potencijalnih n</w:t>
      </w:r>
      <w:r w:rsidR="00EE1147">
        <w:t>o</w:t>
      </w:r>
      <w:r w:rsidR="00FD1F08">
        <w:t>vosintetiziranih inhibitora</w:t>
      </w:r>
      <w:r w:rsidR="00DC0B5A">
        <w:t>.</w:t>
      </w:r>
    </w:p>
    <w:p w14:paraId="0FAA57A1" w14:textId="77777777" w:rsidR="00733D27" w:rsidRDefault="00733D27" w:rsidP="0044240A">
      <w:pPr>
        <w:pStyle w:val="OCJENSKIRADOVIOdlomak3NASTAVAKODLOMKA"/>
      </w:pPr>
      <w:r>
        <w:tab/>
        <w:t xml:space="preserve">U ovom seminaru dan je </w:t>
      </w:r>
      <w:r w:rsidR="000A6AED">
        <w:t xml:space="preserve">uvid u strukturu i aktivnost β-sekretaza, njene uloge u organizmu i nastanku Alzheimerove bolesti </w:t>
      </w:r>
      <w:r>
        <w:t xml:space="preserve">te pregled nekih </w:t>
      </w:r>
      <w:r w:rsidR="00691819">
        <w:t>do sada razvijenih inhibitora ovoga enzima.</w:t>
      </w:r>
      <w:r>
        <w:t xml:space="preserve"> </w:t>
      </w:r>
    </w:p>
    <w:p w14:paraId="14F063CD" w14:textId="77777777" w:rsidR="007E0FE4" w:rsidRDefault="007E0FE4" w:rsidP="0044240A">
      <w:pPr>
        <w:pStyle w:val="OCJENSKIRADOVIOdlomak3NASTAVAKODLOMKA"/>
      </w:pPr>
    </w:p>
    <w:p w14:paraId="65317EAB" w14:textId="77777777" w:rsidR="00390089" w:rsidRDefault="00390089">
      <w:pPr>
        <w:rPr>
          <w:lang w:val="hr-HR"/>
        </w:rPr>
      </w:pPr>
      <w:r>
        <w:br w:type="page"/>
      </w:r>
    </w:p>
    <w:p w14:paraId="36D56619" w14:textId="77777777" w:rsidR="007E0FE4" w:rsidRPr="00694F2F" w:rsidRDefault="007E0FE4" w:rsidP="0044240A">
      <w:pPr>
        <w:pStyle w:val="OCJENSKIRADOVIOdlomak3NASTAVAKODLOMKA"/>
        <w:sectPr w:rsidR="007E0FE4" w:rsidRPr="00694F2F" w:rsidSect="00CF6BB4">
          <w:headerReference w:type="default" r:id="rId11"/>
          <w:footerReference w:type="default" r:id="rId12"/>
          <w:pgSz w:w="11907" w:h="16840" w:code="9"/>
          <w:pgMar w:top="1701" w:right="1418" w:bottom="1701" w:left="1418" w:header="1134" w:footer="1134" w:gutter="0"/>
          <w:pgNumType w:start="1"/>
          <w:cols w:space="708"/>
          <w:docGrid w:linePitch="360"/>
        </w:sectPr>
      </w:pPr>
    </w:p>
    <w:p w14:paraId="33BAB037" w14:textId="77777777" w:rsidR="00093F75" w:rsidRDefault="00093F75" w:rsidP="007E0FE4">
      <w:pPr>
        <w:pStyle w:val="OCJENSKIRADOVI1Naslovpoglavlja"/>
        <w:spacing w:before="120" w:after="240"/>
      </w:pPr>
      <w:bookmarkStart w:id="3" w:name="_Toc101271712"/>
      <w:bookmarkStart w:id="4" w:name="_Toc256085216"/>
      <w:r>
        <w:lastRenderedPageBreak/>
        <w:t>β-sekretaze</w:t>
      </w:r>
      <w:bookmarkEnd w:id="3"/>
    </w:p>
    <w:p w14:paraId="1C06ED5F" w14:textId="77777777" w:rsidR="008F3425" w:rsidRDefault="00093F75" w:rsidP="00E27686">
      <w:pPr>
        <w:spacing w:line="360" w:lineRule="auto"/>
        <w:jc w:val="both"/>
        <w:rPr>
          <w:vertAlign w:val="superscript"/>
        </w:rPr>
      </w:pPr>
      <w:r w:rsidRPr="00D66226">
        <w:t>Β-</w:t>
      </w:r>
      <w:r w:rsidR="007633A8" w:rsidRPr="00D66226">
        <w:t xml:space="preserve">sekretaza je </w:t>
      </w:r>
      <w:r w:rsidR="002C0AD9" w:rsidRPr="00D66226">
        <w:t>trans</w:t>
      </w:r>
      <w:r w:rsidRPr="00D66226">
        <w:t>membranski protein tipa I</w:t>
      </w:r>
      <w:r w:rsidRPr="007633A8">
        <w:t>.</w:t>
      </w:r>
      <w:r w:rsidR="00816BEB">
        <w:rPr>
          <w:vertAlign w:val="superscript"/>
        </w:rPr>
        <w:t>1</w:t>
      </w:r>
      <w:r>
        <w:t xml:space="preserve"> Integralni membranski proteini posjeduju hidrofobne regije (transmembranske regije) koje ostvaruju hidrofobne interakcije s membranskim lipidima i na taj način se čvrsto asociraju s membranom. Tip I integralnih membranskih proteina posjeduje jednu transmembransku zavojnicu koja prolazi kroz membranu; N-kraj proteina nalazi se u ekstracelularnom prostoru, dok se C-kraj nalazi u citoplazmi</w:t>
      </w:r>
      <w:r w:rsidR="009B1A99">
        <w:t xml:space="preserve"> </w:t>
      </w:r>
      <w:r>
        <w:t>stanice.</w:t>
      </w:r>
      <w:r w:rsidR="00816BEB">
        <w:rPr>
          <w:vertAlign w:val="superscript"/>
        </w:rPr>
        <w:t>5</w:t>
      </w:r>
      <w:r w:rsidR="00F74C1A">
        <w:t xml:space="preserve"> </w:t>
      </w:r>
      <w:r>
        <w:t xml:space="preserve">Izvanstanični N-kraj enzima čine ~434 aminokiseline, transmembranska regija sastoji se od ~22 </w:t>
      </w:r>
      <w:r w:rsidR="005427A1">
        <w:t>aminokiseline</w:t>
      </w:r>
      <w:r>
        <w:t xml:space="preserve">, dok citoplazmatski C-kraj čine 24 </w:t>
      </w:r>
      <w:r w:rsidR="002D27CB">
        <w:t>aminokiseline</w:t>
      </w:r>
      <w:r>
        <w:t>.</w:t>
      </w:r>
      <w:r w:rsidR="001F5DD8">
        <w:t xml:space="preserve"> Struktura zrelog enzima prikazana je na slici 1.</w:t>
      </w:r>
      <w:r>
        <w:rPr>
          <w:vertAlign w:val="superscript"/>
        </w:rPr>
        <w:t xml:space="preserve"> </w:t>
      </w:r>
    </w:p>
    <w:p w14:paraId="50CD229D" w14:textId="77777777" w:rsidR="008F3425" w:rsidRDefault="008F3425" w:rsidP="00E27686">
      <w:pPr>
        <w:spacing w:line="360" w:lineRule="auto"/>
        <w:jc w:val="both"/>
      </w:pPr>
      <w:r>
        <w:rPr>
          <w:noProof/>
        </w:rPr>
        <w:drawing>
          <wp:inline distT="0" distB="0" distL="0" distR="0" wp14:anchorId="5CF1DA98" wp14:editId="455BD561">
            <wp:extent cx="5760085" cy="347895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CE1 struktura.PNG"/>
                    <pic:cNvPicPr/>
                  </pic:nvPicPr>
                  <pic:blipFill>
                    <a:blip r:embed="rId13"/>
                    <a:stretch>
                      <a:fillRect/>
                    </a:stretch>
                  </pic:blipFill>
                  <pic:spPr>
                    <a:xfrm>
                      <a:off x="0" y="0"/>
                      <a:ext cx="5760085" cy="3478950"/>
                    </a:xfrm>
                    <a:prstGeom prst="rect">
                      <a:avLst/>
                    </a:prstGeom>
                  </pic:spPr>
                </pic:pic>
              </a:graphicData>
            </a:graphic>
          </wp:inline>
        </w:drawing>
      </w:r>
    </w:p>
    <w:p w14:paraId="68B5B75A" w14:textId="77777777" w:rsidR="008F3425" w:rsidRDefault="008F3425" w:rsidP="00D66226">
      <w:pPr>
        <w:spacing w:line="360" w:lineRule="auto"/>
        <w:jc w:val="center"/>
      </w:pPr>
      <w:r w:rsidRPr="008F3425">
        <w:t>Slika 1. Strukturni prikaz β-sekretaze asocirane s membranom endosoma.</w:t>
      </w:r>
    </w:p>
    <w:p w14:paraId="1E47DB21" w14:textId="77777777" w:rsidR="008F3425" w:rsidRDefault="008F3425" w:rsidP="00E27686">
      <w:pPr>
        <w:spacing w:line="360" w:lineRule="auto"/>
        <w:jc w:val="both"/>
      </w:pPr>
    </w:p>
    <w:p w14:paraId="45AE35E3" w14:textId="77777777" w:rsidR="00665340" w:rsidRDefault="00093F75" w:rsidP="009E69CF">
      <w:pPr>
        <w:spacing w:line="360" w:lineRule="auto"/>
        <w:jc w:val="both"/>
      </w:pPr>
      <w:r>
        <w:t xml:space="preserve">Aktivno mjesto β-sekretaza sadrži dva </w:t>
      </w:r>
      <w:r w:rsidR="00552B58">
        <w:t>katalitička</w:t>
      </w:r>
      <w:r>
        <w:t xml:space="preserve"> aspartata, Asp32 i Asp228. Katalitički aktivne aminokiseline enzima kodirane su u njegovoj ektodomeni, odnosno N-kraju koji se nalazi u izvanstaničnom prostoru.</w:t>
      </w:r>
      <w:r w:rsidR="00816BEB">
        <w:rPr>
          <w:vertAlign w:val="superscript"/>
        </w:rPr>
        <w:t>4</w:t>
      </w:r>
      <w:r w:rsidR="00552B58">
        <w:t xml:space="preserve"> </w:t>
      </w:r>
      <w:r w:rsidR="00A86D46">
        <w:t>Optimalnu aktivnost β-sekretaze postižu u kiselim uvjetima</w:t>
      </w:r>
      <w:r w:rsidR="00C66696">
        <w:t xml:space="preserve"> (pH 4,5)</w:t>
      </w:r>
      <w:r w:rsidR="00A86D46">
        <w:t xml:space="preserve"> te su lokalizirane u kiselim un</w:t>
      </w:r>
      <w:r w:rsidR="007B046D">
        <w:t>u</w:t>
      </w:r>
      <w:r w:rsidR="00A86D46">
        <w:t xml:space="preserve">tarstaničnim </w:t>
      </w:r>
      <w:r w:rsidR="002D27CB">
        <w:t>odjeljenjima</w:t>
      </w:r>
      <w:r w:rsidR="00A86D46">
        <w:t xml:space="preserve"> poput trans-Golgijeve mreže i endosoma.</w:t>
      </w:r>
      <w:r w:rsidR="00816BEB">
        <w:rPr>
          <w:vertAlign w:val="superscript"/>
        </w:rPr>
        <w:t>1,6</w:t>
      </w:r>
      <w:r w:rsidR="00B037A0">
        <w:t xml:space="preserve"> </w:t>
      </w:r>
    </w:p>
    <w:p w14:paraId="47562872" w14:textId="77777777" w:rsidR="00665340" w:rsidRDefault="00093F75" w:rsidP="009E69CF">
      <w:pPr>
        <w:spacing w:line="360" w:lineRule="auto"/>
        <w:ind w:firstLine="720"/>
        <w:jc w:val="both"/>
      </w:pPr>
      <w:r>
        <w:rPr>
          <w:i/>
        </w:rPr>
        <w:t>In vivo</w:t>
      </w:r>
      <w:r>
        <w:t xml:space="preserve">, β-sekretaze </w:t>
      </w:r>
      <w:r w:rsidR="00A754EA">
        <w:t xml:space="preserve">su </w:t>
      </w:r>
      <w:r>
        <w:t>podl</w:t>
      </w:r>
      <w:r w:rsidR="0020723C">
        <w:t>ožne</w:t>
      </w:r>
      <w:r>
        <w:t xml:space="preserve"> homodimerizacij</w:t>
      </w:r>
      <w:r w:rsidR="004A1004">
        <w:t>e</w:t>
      </w:r>
      <w:r w:rsidRPr="0020723C">
        <w:t>.</w:t>
      </w:r>
      <w:r w:rsidR="002A3875">
        <w:t xml:space="preserve"> Proces dimerizacije</w:t>
      </w:r>
      <w:r w:rsidR="007633A8">
        <w:t xml:space="preserve"> je fiziološki proces koji</w:t>
      </w:r>
      <w:r w:rsidR="002A3875">
        <w:t xml:space="preserve"> </w:t>
      </w:r>
      <w:r w:rsidR="007633A8">
        <w:t>se o</w:t>
      </w:r>
      <w:r w:rsidR="002A3875">
        <w:t xml:space="preserve">dvija u endoplazmatskom retikulumu i cis-Golgijevoj mreži prije sazrijevanja </w:t>
      </w:r>
      <w:r w:rsidR="002A3875">
        <w:lastRenderedPageBreak/>
        <w:t>enzima</w:t>
      </w:r>
      <w:r w:rsidR="00816BEB">
        <w:rPr>
          <w:vertAlign w:val="superscript"/>
        </w:rPr>
        <w:t>7,8</w:t>
      </w:r>
      <w:r w:rsidR="002A3875">
        <w:t>, odnosno prije proteolitičkog otcjepljivanja prodomene</w:t>
      </w:r>
      <w:r w:rsidR="007633A8">
        <w:rPr>
          <w:vertAlign w:val="superscript"/>
        </w:rPr>
        <w:t>6</w:t>
      </w:r>
      <w:r w:rsidR="007633A8">
        <w:t>.</w:t>
      </w:r>
      <w:r w:rsidR="00D4271F">
        <w:t xml:space="preserve"> Za nastanak dimera </w:t>
      </w:r>
      <w:r w:rsidR="00B37D77">
        <w:t xml:space="preserve">potrebno je vezanje </w:t>
      </w:r>
      <w:r w:rsidR="0065381D">
        <w:t>β-sekretaze za membranu</w:t>
      </w:r>
      <w:r w:rsidR="00816BEB">
        <w:rPr>
          <w:vertAlign w:val="superscript"/>
        </w:rPr>
        <w:t>7,8</w:t>
      </w:r>
      <w:r w:rsidR="0065381D">
        <w:t>, no ne nužno i očuvana transmembranska regija odnosno C-terminalni kraj enzima, što je dokazano dimerizacijom ektodomene (N-kraj) β-sekretaze na koju je bilo vezano GPI (glikozil-fosfatidilinozitol) sidro</w:t>
      </w:r>
      <w:r w:rsidR="00816BEB">
        <w:rPr>
          <w:vertAlign w:val="superscript"/>
        </w:rPr>
        <w:t>8</w:t>
      </w:r>
      <w:r w:rsidR="0065381D">
        <w:t>.</w:t>
      </w:r>
      <w:r w:rsidR="00295879">
        <w:t xml:space="preserve"> </w:t>
      </w:r>
      <w:r w:rsidR="00F23EE6">
        <w:rPr>
          <w:i/>
        </w:rPr>
        <w:t xml:space="preserve">In </w:t>
      </w:r>
      <w:r w:rsidR="00F23EE6" w:rsidRPr="00F23EE6">
        <w:t>vitro</w:t>
      </w:r>
      <w:r w:rsidR="00F23EE6">
        <w:t xml:space="preserve">, </w:t>
      </w:r>
      <w:r w:rsidR="007A51FF">
        <w:t xml:space="preserve">dimerne </w:t>
      </w:r>
      <w:r w:rsidR="00F23EE6" w:rsidRPr="00F23EE6">
        <w:t>β</w:t>
      </w:r>
      <w:r w:rsidR="00F23EE6">
        <w:t xml:space="preserve">-sekretaze u </w:t>
      </w:r>
      <w:r w:rsidR="007A51FF">
        <w:t xml:space="preserve">usporedbi s monomerima </w:t>
      </w:r>
      <w:r w:rsidR="00F23EE6">
        <w:t xml:space="preserve">pokazuju veći afinitet i katalitički obrtaj proteina APP </w:t>
      </w:r>
      <w:r w:rsidR="007A51FF">
        <w:t>švedskog tipa</w:t>
      </w:r>
      <w:r w:rsidR="00816BEB">
        <w:rPr>
          <w:vertAlign w:val="superscript"/>
        </w:rPr>
        <w:t>8</w:t>
      </w:r>
      <w:r w:rsidR="009D55BB">
        <w:t xml:space="preserve"> </w:t>
      </w:r>
      <w:r w:rsidR="007A51FF">
        <w:t xml:space="preserve">koji </w:t>
      </w:r>
      <w:r w:rsidR="00F23EE6">
        <w:t>sadrži mutaciju Lys670Ala i Met671Leu u blizini</w:t>
      </w:r>
      <w:r w:rsidR="00E64D25">
        <w:t xml:space="preserve"> mjesta cijepanja potpomognutog β-sekretazom što rezultira efikasnijim vezanjem proteina za enzim</w:t>
      </w:r>
      <w:r w:rsidR="00A204ED">
        <w:t>,</w:t>
      </w:r>
      <w:r w:rsidR="00E64D25">
        <w:t xml:space="preserve"> kao i većim prinosom produkata reakcije te ukupne produkcije Aβ peptida</w:t>
      </w:r>
      <w:r w:rsidR="00816BEB">
        <w:rPr>
          <w:vertAlign w:val="superscript"/>
        </w:rPr>
        <w:t>3,4</w:t>
      </w:r>
      <w:r w:rsidR="007A51FF">
        <w:t xml:space="preserve">. </w:t>
      </w:r>
    </w:p>
    <w:p w14:paraId="5C502DC7" w14:textId="3B70E94E" w:rsidR="009067FA" w:rsidRDefault="007A51FF" w:rsidP="00AB2DF8">
      <w:pPr>
        <w:spacing w:line="360" w:lineRule="auto"/>
        <w:ind w:firstLine="1134"/>
        <w:jc w:val="both"/>
      </w:pPr>
      <w:r w:rsidRPr="007A51FF">
        <w:t>Najveće koncentracije BACE1 mogu se pronaći u neuronima</w:t>
      </w:r>
      <w:r w:rsidR="00816BEB">
        <w:rPr>
          <w:vertAlign w:val="superscript"/>
        </w:rPr>
        <w:t>3</w:t>
      </w:r>
      <w:r w:rsidRPr="007A51FF">
        <w:t>.</w:t>
      </w:r>
      <w:r w:rsidR="006642AA">
        <w:t xml:space="preserve"> Western blot analiz</w:t>
      </w:r>
      <w:r w:rsidR="009067FA">
        <w:t>om</w:t>
      </w:r>
      <w:r w:rsidR="006642AA">
        <w:t xml:space="preserve"> homogenata različitih regija ljudskog </w:t>
      </w:r>
      <w:r w:rsidR="009067FA">
        <w:t>mozga pokazano je da se β-sekretaze u obliku dimera javljaju u područjima koja zahvaća Alzheimerova bolest, a to su čeoni i okcipitalni režanj te hipokampus</w:t>
      </w:r>
      <w:r w:rsidR="00816BEB">
        <w:rPr>
          <w:vertAlign w:val="superscript"/>
        </w:rPr>
        <w:t>7</w:t>
      </w:r>
      <w:r w:rsidR="00816BEB">
        <w:t>.</w:t>
      </w:r>
    </w:p>
    <w:p w14:paraId="0AF900DD" w14:textId="77777777" w:rsidR="009067FA" w:rsidRPr="0072257D" w:rsidRDefault="009067FA" w:rsidP="00E27686">
      <w:pPr>
        <w:spacing w:line="360" w:lineRule="auto"/>
        <w:jc w:val="both"/>
      </w:pPr>
    </w:p>
    <w:p w14:paraId="0DA2E266" w14:textId="77777777" w:rsidR="00E27686" w:rsidRPr="00E27686" w:rsidRDefault="00E27686" w:rsidP="00E27686">
      <w:pPr>
        <w:pStyle w:val="OCJENSKIRADOVI2Podnaslovpoglavlja"/>
      </w:pPr>
      <w:bookmarkStart w:id="5" w:name="_Toc101271713"/>
      <w:r>
        <w:t>Otkriće β-sekretaza</w:t>
      </w:r>
      <w:bookmarkEnd w:id="5"/>
    </w:p>
    <w:p w14:paraId="3CD41ACD" w14:textId="77777777" w:rsidR="003C05CF" w:rsidRDefault="00E27686" w:rsidP="00E27686">
      <w:pPr>
        <w:spacing w:line="360" w:lineRule="auto"/>
        <w:jc w:val="both"/>
      </w:pPr>
      <w:r>
        <w:t xml:space="preserve">Sredinom prošlog stoljeća otkriveno je da osobe </w:t>
      </w:r>
      <w:r w:rsidR="00A32D7D">
        <w:t>s</w:t>
      </w:r>
      <w:r>
        <w:t xml:space="preserve"> Downov</w:t>
      </w:r>
      <w:r w:rsidR="00A32D7D">
        <w:t>im</w:t>
      </w:r>
      <w:r>
        <w:t xml:space="preserve"> sindrom</w:t>
      </w:r>
      <w:r w:rsidR="00A32D7D">
        <w:t>om</w:t>
      </w:r>
      <w:r>
        <w:t xml:space="preserve"> već početkom srednje životne dobi razvijaju neuropatologiju Alzheimerove bolesti, odnosno plakove </w:t>
      </w:r>
      <w:r w:rsidRPr="00C61EC0">
        <w:t>amiloidnih β peptida</w:t>
      </w:r>
      <w:r>
        <w:t xml:space="preserve"> i neurofibrilarne čvorove proteina tau</w:t>
      </w:r>
      <w:r w:rsidR="00816BEB">
        <w:rPr>
          <w:vertAlign w:val="superscript"/>
        </w:rPr>
        <w:t>9</w:t>
      </w:r>
      <w:r>
        <w:t>.</w:t>
      </w:r>
      <w:r w:rsidR="000926C5">
        <w:t xml:space="preserve"> Downov sindrom karakterizira trisomija, odnosno pojava jedne dodatne kopije kromosoma 21 zbog čega stanice sadrže tri umjesto uobičajene dvije kopije navedenog kromosoma. Višak kromosoma 21 rezultira </w:t>
      </w:r>
      <w:r w:rsidR="006B445C">
        <w:t>genetskom neravnotežom i poremećenom ekspresijom proteina koje kodiraju</w:t>
      </w:r>
      <w:r w:rsidR="00816BEB">
        <w:rPr>
          <w:vertAlign w:val="superscript"/>
        </w:rPr>
        <w:t>10</w:t>
      </w:r>
      <w:r w:rsidR="006B445C">
        <w:t>.</w:t>
      </w:r>
      <w:r>
        <w:t xml:space="preserve"> Stoga je pretpostavljeno da bi genetski uzroci Alzheimerove bolesti mogli ležati</w:t>
      </w:r>
      <w:r w:rsidR="006B445C">
        <w:t xml:space="preserve"> upravo </w:t>
      </w:r>
      <w:r>
        <w:t>u kromosomu</w:t>
      </w:r>
      <w:r w:rsidR="000926C5">
        <w:t xml:space="preserve"> </w:t>
      </w:r>
      <w:r>
        <w:t>21.</w:t>
      </w:r>
      <w:r w:rsidR="00816BEB">
        <w:rPr>
          <w:vertAlign w:val="superscript"/>
        </w:rPr>
        <w:t>9</w:t>
      </w:r>
      <w:r>
        <w:rPr>
          <w:vertAlign w:val="superscript"/>
        </w:rPr>
        <w:t xml:space="preserve"> </w:t>
      </w:r>
      <w:r w:rsidR="00124E38">
        <w:t>Istraživanja Glennera i Wonga</w:t>
      </w:r>
      <w:r>
        <w:t xml:space="preserve"> dovela su do identifikacije </w:t>
      </w:r>
      <w:r w:rsidR="00CF0F4E">
        <w:t xml:space="preserve">amiloidnih </w:t>
      </w:r>
      <w:r>
        <w:t>peptida</w:t>
      </w:r>
      <w:r w:rsidR="00CF0F4E">
        <w:t xml:space="preserve"> β</w:t>
      </w:r>
      <w:r>
        <w:t xml:space="preserve"> u cerebrovaskularnim amiloidnim fibrilima osoba oboljelih</w:t>
      </w:r>
      <w:r w:rsidR="00DA3BB1">
        <w:t xml:space="preserve"> </w:t>
      </w:r>
      <w:r>
        <w:t>od</w:t>
      </w:r>
      <w:r w:rsidR="00DA3BB1">
        <w:t xml:space="preserve"> </w:t>
      </w:r>
      <w:r>
        <w:t xml:space="preserve">Alzheimerove bolesti </w:t>
      </w:r>
      <w:r w:rsidR="00C97F44">
        <w:t>te osoba s</w:t>
      </w:r>
      <w:r>
        <w:t xml:space="preserve"> Downovo</w:t>
      </w:r>
      <w:r w:rsidR="00C97F44">
        <w:t>vim</w:t>
      </w:r>
      <w:r>
        <w:t xml:space="preserve"> sindrom</w:t>
      </w:r>
      <w:r w:rsidR="00C97F44">
        <w:t>om</w:t>
      </w:r>
      <w:r>
        <w:t>, kao i do spoznaje da su ti novootkriveni peptidi strukturno gotovo identični u obje bolesti.</w:t>
      </w:r>
      <w:r w:rsidR="000D0533">
        <w:t xml:space="preserve"> </w:t>
      </w:r>
      <w:r w:rsidR="00C97F44">
        <w:t>Ta sličnost sugerirala je mogućnost da</w:t>
      </w:r>
      <w:r w:rsidR="001916FA">
        <w:t xml:space="preserve"> amiloidni plakovi</w:t>
      </w:r>
      <w:r w:rsidR="00C97F44">
        <w:t xml:space="preserve"> peptid</w:t>
      </w:r>
      <w:r w:rsidR="001916FA">
        <w:t>a</w:t>
      </w:r>
      <w:r w:rsidR="00C97F44">
        <w:t xml:space="preserve"> β u oba slučaja</w:t>
      </w:r>
      <w:r w:rsidR="001916FA">
        <w:t xml:space="preserve"> nastaju kao</w:t>
      </w:r>
      <w:r w:rsidR="00C97F44">
        <w:t xml:space="preserve"> posljedica istog genetskog defekta</w:t>
      </w:r>
      <w:r w:rsidR="00816BEB">
        <w:rPr>
          <w:vertAlign w:val="superscript"/>
        </w:rPr>
        <w:t>11,12</w:t>
      </w:r>
      <w:r w:rsidR="00C97F44">
        <w:t>.</w:t>
      </w:r>
      <w:r w:rsidR="002C7750">
        <w:t xml:space="preserve"> </w:t>
      </w:r>
      <w:r w:rsidR="00813F90">
        <w:t xml:space="preserve">Devedesetih godina prošlog stoljeća kod osoba oboljelih od </w:t>
      </w:r>
      <w:r w:rsidR="00813F90" w:rsidRPr="00813F90">
        <w:t>cerebralnog krvarenja s amiloidozom (</w:t>
      </w:r>
      <w:r w:rsidR="00813F90" w:rsidRPr="00813F90">
        <w:rPr>
          <w:i/>
        </w:rPr>
        <w:t>Hereditary Cerebral Hemorrhage With Amyloidosis ‐ Dutch type</w:t>
      </w:r>
      <w:r w:rsidR="00813F90">
        <w:t>, HCHWA-D</w:t>
      </w:r>
      <w:r w:rsidR="00813F90" w:rsidRPr="00813F90">
        <w:t>)</w:t>
      </w:r>
      <w:r w:rsidR="0097215A">
        <w:t xml:space="preserve"> koju karakterizira nakupljanje amiloidnih β proteina</w:t>
      </w:r>
      <w:r w:rsidR="00813F90" w:rsidRPr="00813F90">
        <w:t xml:space="preserve"> te familijalnog oblika Alzheimerove bolesti</w:t>
      </w:r>
      <w:r w:rsidR="0097215A">
        <w:t xml:space="preserve"> </w:t>
      </w:r>
      <w:r w:rsidR="00813F90">
        <w:t xml:space="preserve">otkrivene su točkaste mutacije u </w:t>
      </w:r>
      <w:r w:rsidR="00813F90">
        <w:rPr>
          <w:i/>
        </w:rPr>
        <w:t>APP</w:t>
      </w:r>
      <w:r w:rsidR="00813F90">
        <w:t xml:space="preserve"> genu</w:t>
      </w:r>
      <w:r w:rsidR="00774ED5">
        <w:t xml:space="preserve"> koji se nalazi na kromosomu 21</w:t>
      </w:r>
      <w:r w:rsidR="00813F90">
        <w:t>.</w:t>
      </w:r>
      <w:r w:rsidR="00816BEB">
        <w:rPr>
          <w:vertAlign w:val="superscript"/>
        </w:rPr>
        <w:t>13,14</w:t>
      </w:r>
      <w:r>
        <w:rPr>
          <w:vertAlign w:val="superscript"/>
        </w:rPr>
        <w:t xml:space="preserve"> </w:t>
      </w:r>
      <w:r w:rsidR="007F4D4E" w:rsidRPr="007F4D4E">
        <w:t xml:space="preserve">Navedene spoznaje potaknule su </w:t>
      </w:r>
      <w:r w:rsidR="007F4D4E">
        <w:t xml:space="preserve">znanstvenu zajednicu </w:t>
      </w:r>
      <w:r w:rsidR="00F42438">
        <w:t>da pronađe enzim odgovoran za procesiranje proteina APP.</w:t>
      </w:r>
      <w:r>
        <w:t xml:space="preserve"> 1999. godine pet različitih grupa znanstvenika objavilo je otkriće aspartične proteaze koja djeluje na luminalnu domenu proteina APP i </w:t>
      </w:r>
      <w:r>
        <w:lastRenderedPageBreak/>
        <w:t xml:space="preserve">uzrokuje otpuštanje peptida Aβ. </w:t>
      </w:r>
      <w:r w:rsidR="00F42438">
        <w:t>N</w:t>
      </w:r>
      <w:r>
        <w:t>ovootkrivenoj β-sekretazi</w:t>
      </w:r>
      <w:r w:rsidR="00F42438">
        <w:t xml:space="preserve"> dodijeljeno je nekoliko naziva</w:t>
      </w:r>
      <w:r>
        <w:t xml:space="preserve">, pa tako </w:t>
      </w:r>
      <w:r w:rsidR="00665340">
        <w:t xml:space="preserve">naziv </w:t>
      </w:r>
      <w:r w:rsidR="00F42438">
        <w:t xml:space="preserve">Asp-2 govori da je riječ o aspartičnoj proteazi, </w:t>
      </w:r>
      <w:r>
        <w:t>memapsin-2 (</w:t>
      </w:r>
      <w:r w:rsidRPr="0092790B">
        <w:rPr>
          <w:i/>
        </w:rPr>
        <w:t>membrane-anchored protease</w:t>
      </w:r>
      <w:r>
        <w:t>) označava da je riječ o membransko</w:t>
      </w:r>
      <w:r w:rsidR="00B74618">
        <w:t>m protein uz dodatak n</w:t>
      </w:r>
      <w:r>
        <w:t>astavak</w:t>
      </w:r>
      <w:r w:rsidR="00B74618">
        <w:t>a</w:t>
      </w:r>
      <w:r>
        <w:t xml:space="preserve"> „-in“</w:t>
      </w:r>
      <w:r w:rsidR="00B74618">
        <w:t xml:space="preserve"> u skladu s imenovanjem aspartičnih proteaza</w:t>
      </w:r>
      <w:r>
        <w:t>, dok naziv BACE-1 (</w:t>
      </w:r>
      <w:r w:rsidRPr="0092790B">
        <w:rPr>
          <w:i/>
          <w:u w:val="single"/>
        </w:rPr>
        <w:t>B</w:t>
      </w:r>
      <w:r w:rsidRPr="0092790B">
        <w:rPr>
          <w:i/>
        </w:rPr>
        <w:t xml:space="preserve">eta </w:t>
      </w:r>
      <w:r w:rsidRPr="0092790B">
        <w:rPr>
          <w:i/>
          <w:u w:val="single"/>
        </w:rPr>
        <w:t>S</w:t>
      </w:r>
      <w:r w:rsidRPr="0092790B">
        <w:rPr>
          <w:i/>
        </w:rPr>
        <w:t xml:space="preserve">ite </w:t>
      </w:r>
      <w:r w:rsidRPr="0092790B">
        <w:rPr>
          <w:i/>
          <w:u w:val="single"/>
        </w:rPr>
        <w:t>A</w:t>
      </w:r>
      <w:r w:rsidRPr="0092790B">
        <w:rPr>
          <w:i/>
        </w:rPr>
        <w:t>PP-</w:t>
      </w:r>
      <w:r w:rsidRPr="0092790B">
        <w:rPr>
          <w:i/>
          <w:u w:val="single"/>
        </w:rPr>
        <w:t>C</w:t>
      </w:r>
      <w:r w:rsidRPr="0092790B">
        <w:rPr>
          <w:i/>
        </w:rPr>
        <w:t xml:space="preserve">leaving </w:t>
      </w:r>
      <w:r w:rsidRPr="0092790B">
        <w:rPr>
          <w:i/>
          <w:u w:val="single"/>
        </w:rPr>
        <w:t>E</w:t>
      </w:r>
      <w:r w:rsidRPr="0092790B">
        <w:rPr>
          <w:i/>
        </w:rPr>
        <w:t>nzyme</w:t>
      </w:r>
      <w:r>
        <w:t>) naglašava njeno mjesto djelovanja na supstratu APP (nakon otkrića homologa, nazvanog BACE-2, prvootkrivenoj sekretazi u naziv je dodan broj 1)</w:t>
      </w:r>
      <w:r w:rsidR="00816BEB">
        <w:rPr>
          <w:vertAlign w:val="superscript"/>
        </w:rPr>
        <w:t>4</w:t>
      </w:r>
      <w:r>
        <w:t>.</w:t>
      </w:r>
    </w:p>
    <w:p w14:paraId="301509B5" w14:textId="77777777" w:rsidR="003C05CF" w:rsidRPr="00526F52" w:rsidRDefault="00D57AE7" w:rsidP="003C05CF">
      <w:pPr>
        <w:pStyle w:val="OCJENSKIRADOVI2Podnaslovpoglavlja"/>
      </w:pPr>
      <w:bookmarkStart w:id="6" w:name="_Hlk91501019"/>
      <w:bookmarkStart w:id="7" w:name="_Toc101271714"/>
      <w:r>
        <w:t>Biosinteza i posttranslacijske modifikacije</w:t>
      </w:r>
      <w:r w:rsidR="003C05CF">
        <w:t xml:space="preserve"> β-sekretaze</w:t>
      </w:r>
      <w:bookmarkEnd w:id="6"/>
      <w:bookmarkEnd w:id="7"/>
    </w:p>
    <w:p w14:paraId="3222396D" w14:textId="61F8EFB0" w:rsidR="003C05CF" w:rsidRPr="00D57AE7" w:rsidRDefault="004F0700" w:rsidP="003C05CF">
      <w:pPr>
        <w:spacing w:line="360" w:lineRule="auto"/>
        <w:jc w:val="both"/>
        <w:rPr>
          <w:lang w:val="hr-HR"/>
        </w:rPr>
      </w:pPr>
      <w:r w:rsidRPr="00EB7049">
        <w:t>Biosinteza β-sekretaze odvija se u lumenu endoplazmatskog retikuluma</w:t>
      </w:r>
      <w:r w:rsidR="006957F0">
        <w:rPr>
          <w:vertAlign w:val="superscript"/>
        </w:rPr>
        <w:t>6</w:t>
      </w:r>
      <w:r w:rsidRPr="00EB7049">
        <w:t>.</w:t>
      </w:r>
      <w:r w:rsidR="00EB7049">
        <w:t xml:space="preserve"> </w:t>
      </w:r>
      <w:r w:rsidR="00665340">
        <w:t>U manjim količinama</w:t>
      </w:r>
      <w:r w:rsidR="00EB7049">
        <w:t xml:space="preserve"> eksprimirana je u većini tjelesnih stanica</w:t>
      </w:r>
      <w:r w:rsidR="004C3D71">
        <w:t>, dok je u neuronima njena ekspresija značajnija</w:t>
      </w:r>
      <w:r w:rsidR="006957F0">
        <w:rPr>
          <w:vertAlign w:val="superscript"/>
        </w:rPr>
        <w:t>15</w:t>
      </w:r>
      <w:r w:rsidR="004C3D71">
        <w:t>.</w:t>
      </w:r>
      <w:r w:rsidR="00EA0BB5">
        <w:t xml:space="preserve"> </w:t>
      </w:r>
      <w:r w:rsidR="00D57AE7" w:rsidRPr="00D57AE7">
        <w:rPr>
          <w:lang w:val="hr-HR"/>
        </w:rPr>
        <w:t>Genetski su</w:t>
      </w:r>
      <w:r w:rsidR="003C05CF" w:rsidRPr="00D57AE7">
        <w:rPr>
          <w:lang w:val="hr-HR"/>
        </w:rPr>
        <w:t xml:space="preserve"> kodirane kao pre-proenzim koji se sastoji od 501 aminokiseline</w:t>
      </w:r>
      <w:r w:rsidR="00CC660F">
        <w:rPr>
          <w:lang w:val="hr-HR"/>
        </w:rPr>
        <w:t xml:space="preserve"> te se, kao i većina aspartičnih proteaza, sintetiziraju u obliku zimogena</w:t>
      </w:r>
      <w:r w:rsidR="006957F0">
        <w:rPr>
          <w:vertAlign w:val="superscript"/>
          <w:lang w:val="hr-HR"/>
        </w:rPr>
        <w:t>4,15</w:t>
      </w:r>
      <w:r w:rsidR="003C05CF" w:rsidRPr="00D57AE7">
        <w:rPr>
          <w:lang w:val="hr-HR"/>
        </w:rPr>
        <w:t>. Kotranslacijski se</w:t>
      </w:r>
      <w:r w:rsidR="00CC660F">
        <w:rPr>
          <w:lang w:val="hr-HR"/>
        </w:rPr>
        <w:t xml:space="preserve"> pomoću signalne pe</w:t>
      </w:r>
      <w:r w:rsidR="00BE68CA">
        <w:rPr>
          <w:lang w:val="hr-HR"/>
        </w:rPr>
        <w:t>p</w:t>
      </w:r>
      <w:r w:rsidR="00CC660F">
        <w:rPr>
          <w:lang w:val="hr-HR"/>
        </w:rPr>
        <w:t xml:space="preserve">tidaze </w:t>
      </w:r>
      <w:r w:rsidR="003C05CF" w:rsidRPr="00D57AE7">
        <w:rPr>
          <w:lang w:val="hr-HR"/>
        </w:rPr>
        <w:t>otcjepljuje signalni peptid duljine 21 aminokiseline, nakon kojega se nalazi prodomena odnosno N-kraj proproteina (22 – 45 ak) i katalitička domena (46 – 451 ak) koje se nalaze u izvanstaničnom lumenu, zatim slijedi transmembranska domena (452 – 483) te kratka citoplazmatska domena odnosno C-kraj proteina (484 – 501)</w:t>
      </w:r>
      <w:r w:rsidR="006957F0">
        <w:rPr>
          <w:vertAlign w:val="superscript"/>
          <w:lang w:val="hr-HR"/>
        </w:rPr>
        <w:t>4</w:t>
      </w:r>
      <w:r w:rsidR="003C05CF" w:rsidRPr="00D57AE7">
        <w:rPr>
          <w:lang w:val="hr-HR"/>
        </w:rPr>
        <w:t>. Proβ-sekretaza aktivira se proteolitičkim djelovanjem drugih proteaza koje uklanjaju propeptid. Zanimljivo, β-sekretaze su aktivne i u obliku proenzima, a njihova aktivnost raste uklanjanjem prodomene, što implicira da maturacija i proteaze koje ju potpomažu mogu regulirati optimalnu aktivnosti enzima. Mjesto cijepanja u prodomeni sadrži motiv RLPR koji prepoznaju proprotein konvertaze poput furina</w:t>
      </w:r>
      <w:r w:rsidR="006957F0">
        <w:rPr>
          <w:vertAlign w:val="superscript"/>
          <w:lang w:val="hr-HR"/>
        </w:rPr>
        <w:t>4</w:t>
      </w:r>
      <w:r w:rsidR="00D57AE7">
        <w:rPr>
          <w:lang w:val="hr-HR"/>
        </w:rPr>
        <w:t>.</w:t>
      </w:r>
      <w:r w:rsidR="00981AA3">
        <w:rPr>
          <w:lang w:val="hr-HR"/>
        </w:rPr>
        <w:t xml:space="preserve"> Pre- i pro-peptidne domene uklanjaju se u endoplazmatskom retikulumu, odnosno trans-Golgijevoj mreži</w:t>
      </w:r>
      <w:r w:rsidR="006957F0">
        <w:rPr>
          <w:vertAlign w:val="superscript"/>
          <w:lang w:val="hr-HR"/>
        </w:rPr>
        <w:t>15</w:t>
      </w:r>
      <w:r w:rsidR="00981AA3">
        <w:rPr>
          <w:lang w:val="hr-HR"/>
        </w:rPr>
        <w:t>.</w:t>
      </w:r>
    </w:p>
    <w:p w14:paraId="6601C7D0" w14:textId="652272AB" w:rsidR="003C05CF" w:rsidRDefault="003C05CF" w:rsidP="003C05CF">
      <w:pPr>
        <w:spacing w:line="360" w:lineRule="auto"/>
        <w:ind w:firstLine="720"/>
        <w:jc w:val="both"/>
        <w:rPr>
          <w:lang w:val="hr-HR"/>
        </w:rPr>
      </w:pPr>
      <w:r w:rsidRPr="005974A1">
        <w:rPr>
          <w:lang w:val="hr-HR"/>
        </w:rPr>
        <w:t xml:space="preserve">Nakon translacije β-sekretaze se dorađuju kroz nekoliko modifikacija. Glikozilacija igra važnu ulogu u smatanju i stabilizaciji proteina, kao i unutarstaničnom prijenosu proteina između različitih staničnih </w:t>
      </w:r>
      <w:r w:rsidR="005974A1">
        <w:rPr>
          <w:lang w:val="hr-HR"/>
        </w:rPr>
        <w:t>odjeljaka</w:t>
      </w:r>
      <w:r w:rsidRPr="00556A2F">
        <w:rPr>
          <w:lang w:val="hr-HR"/>
        </w:rPr>
        <w:t>.</w:t>
      </w:r>
      <w:r w:rsidR="00556A2F" w:rsidRPr="00556A2F">
        <w:rPr>
          <w:lang w:val="hr-HR"/>
        </w:rPr>
        <w:t xml:space="preserve"> </w:t>
      </w:r>
      <w:r w:rsidRPr="00556A2F">
        <w:rPr>
          <w:lang w:val="hr-HR"/>
        </w:rPr>
        <w:t xml:space="preserve">Β-sekretaze posjeduju nekoliko potencijalnih </w:t>
      </w:r>
      <w:r w:rsidRPr="00556A2F">
        <w:rPr>
          <w:i/>
          <w:lang w:val="hr-HR"/>
        </w:rPr>
        <w:t>N</w:t>
      </w:r>
      <w:r w:rsidRPr="00556A2F">
        <w:rPr>
          <w:lang w:val="hr-HR"/>
        </w:rPr>
        <w:t xml:space="preserve">-glikozilacijskih mjesta, </w:t>
      </w:r>
      <w:r w:rsidRPr="00556A2F">
        <w:t xml:space="preserve">N153, N172, N223 i N354, koja se nalaze u blizini aktivnog mjesta. </w:t>
      </w:r>
      <w:r w:rsidRPr="00556A2F">
        <w:rPr>
          <w:lang w:val="hr-HR"/>
        </w:rPr>
        <w:t>Glikozilacija ovih mjesta odvija se u endoplazmatskom retikulumu i Golgijevom kompleksu te potencijalno pomaže u postizanju optimalne aktivnosti enzima održavanjem njegove aktivne konformacije</w:t>
      </w:r>
      <w:r w:rsidR="006957F0">
        <w:rPr>
          <w:vertAlign w:val="superscript"/>
          <w:lang w:val="hr-HR"/>
        </w:rPr>
        <w:t>4,15</w:t>
      </w:r>
      <w:r w:rsidRPr="00556A2F">
        <w:rPr>
          <w:lang w:val="hr-HR"/>
        </w:rPr>
        <w:t>.</w:t>
      </w:r>
      <w:r w:rsidR="006957F0">
        <w:rPr>
          <w:lang w:val="hr-HR"/>
        </w:rPr>
        <w:t xml:space="preserve"> </w:t>
      </w:r>
      <w:r w:rsidRPr="00232231">
        <w:rPr>
          <w:i/>
          <w:lang w:val="hr-HR"/>
        </w:rPr>
        <w:t>N</w:t>
      </w:r>
      <w:r w:rsidRPr="00232231">
        <w:rPr>
          <w:lang w:val="hr-HR"/>
        </w:rPr>
        <w:t>-vezani oligosaharidi dodatno se još dorađuju sulfurilacijom</w:t>
      </w:r>
      <w:r w:rsidR="006957F0">
        <w:rPr>
          <w:vertAlign w:val="superscript"/>
          <w:lang w:val="hr-HR"/>
        </w:rPr>
        <w:t>4</w:t>
      </w:r>
      <w:r w:rsidRPr="00232231">
        <w:rPr>
          <w:lang w:val="hr-HR"/>
        </w:rPr>
        <w:t xml:space="preserve">. </w:t>
      </w:r>
      <w:r w:rsidRPr="00AF7844">
        <w:rPr>
          <w:lang w:val="hr-HR"/>
        </w:rPr>
        <w:t>Palmitoilacija β-sekretaza pomaže u regrutaciji enzima u lipidne splavi, ali je također pokazano da inhibicija palmitoilacije može spriječiti homodimerizaciju β-sekretaza. Palmitoilacij</w:t>
      </w:r>
      <w:r w:rsidR="000C0C11">
        <w:rPr>
          <w:lang w:val="hr-HR"/>
        </w:rPr>
        <w:t>i podliježu</w:t>
      </w:r>
      <w:r w:rsidRPr="00AF7844">
        <w:rPr>
          <w:lang w:val="hr-HR"/>
        </w:rPr>
        <w:t xml:space="preserve"> </w:t>
      </w:r>
      <w:r w:rsidR="000C0C11">
        <w:rPr>
          <w:lang w:val="hr-HR"/>
        </w:rPr>
        <w:t>četiri</w:t>
      </w:r>
      <w:r w:rsidRPr="00AF7844">
        <w:rPr>
          <w:lang w:val="hr-HR"/>
        </w:rPr>
        <w:t xml:space="preserve"> cisteinsk</w:t>
      </w:r>
      <w:r w:rsidR="000C0C11">
        <w:rPr>
          <w:lang w:val="hr-HR"/>
        </w:rPr>
        <w:t>a</w:t>
      </w:r>
      <w:r w:rsidRPr="00AF7844">
        <w:rPr>
          <w:lang w:val="hr-HR"/>
        </w:rPr>
        <w:t xml:space="preserve"> bočn</w:t>
      </w:r>
      <w:r w:rsidR="000C0C11">
        <w:rPr>
          <w:lang w:val="hr-HR"/>
        </w:rPr>
        <w:t>a</w:t>
      </w:r>
      <w:r w:rsidRPr="00AF7844">
        <w:rPr>
          <w:lang w:val="hr-HR"/>
        </w:rPr>
        <w:t xml:space="preserve"> ogran</w:t>
      </w:r>
      <w:r w:rsidR="000C0C11">
        <w:rPr>
          <w:lang w:val="hr-HR"/>
        </w:rPr>
        <w:t xml:space="preserve">ka, </w:t>
      </w:r>
      <w:r w:rsidR="000C0C11">
        <w:t xml:space="preserve">Cys474, Cys478, Cys482 i Cys485 koji se nalaze </w:t>
      </w:r>
      <w:r w:rsidR="00C41522">
        <w:t>u</w:t>
      </w:r>
      <w:r w:rsidR="00B211E8">
        <w:t>nutar</w:t>
      </w:r>
      <w:r w:rsidRPr="00AF7844">
        <w:rPr>
          <w:lang w:val="hr-HR"/>
        </w:rPr>
        <w:t xml:space="preserve">  transmembransk</w:t>
      </w:r>
      <w:r w:rsidR="000C0C11">
        <w:rPr>
          <w:lang w:val="hr-HR"/>
        </w:rPr>
        <w:t>e</w:t>
      </w:r>
      <w:r w:rsidRPr="00AF7844">
        <w:rPr>
          <w:lang w:val="hr-HR"/>
        </w:rPr>
        <w:t xml:space="preserve"> i citoplazmatsk</w:t>
      </w:r>
      <w:r w:rsidR="000C0C11">
        <w:rPr>
          <w:lang w:val="hr-HR"/>
        </w:rPr>
        <w:t>e</w:t>
      </w:r>
      <w:r w:rsidRPr="00AF7844">
        <w:rPr>
          <w:lang w:val="hr-HR"/>
        </w:rPr>
        <w:t xml:space="preserve"> domen</w:t>
      </w:r>
      <w:r w:rsidR="000C0C11">
        <w:rPr>
          <w:lang w:val="hr-HR"/>
        </w:rPr>
        <w:t>e</w:t>
      </w:r>
      <w:r w:rsidRPr="00AF7844">
        <w:rPr>
          <w:lang w:val="hr-HR"/>
        </w:rPr>
        <w:t xml:space="preserve"> enzima</w:t>
      </w:r>
      <w:r w:rsidR="006957F0">
        <w:rPr>
          <w:vertAlign w:val="superscript"/>
          <w:lang w:val="hr-HR"/>
        </w:rPr>
        <w:t>4,15</w:t>
      </w:r>
      <w:r w:rsidRPr="00AF7844">
        <w:rPr>
          <w:lang w:val="hr-HR"/>
        </w:rPr>
        <w:t xml:space="preserve">. </w:t>
      </w:r>
      <w:r w:rsidRPr="00F55550">
        <w:rPr>
          <w:lang w:val="hr-HR"/>
        </w:rPr>
        <w:t xml:space="preserve">Uz navedene modifikacije, važnu ulogu </w:t>
      </w:r>
      <w:r w:rsidRPr="00F55550">
        <w:rPr>
          <w:lang w:val="hr-HR"/>
        </w:rPr>
        <w:lastRenderedPageBreak/>
        <w:t>igra i fosforilacij</w:t>
      </w:r>
      <w:r w:rsidR="000C0C11" w:rsidRPr="00F55550">
        <w:rPr>
          <w:lang w:val="hr-HR"/>
        </w:rPr>
        <w:t>a</w:t>
      </w:r>
      <w:r w:rsidRPr="00F55550">
        <w:rPr>
          <w:lang w:val="hr-HR"/>
        </w:rPr>
        <w:t xml:space="preserve"> Ser498 u citoplazmatskoj domeni</w:t>
      </w:r>
      <w:r w:rsidR="006957F0">
        <w:rPr>
          <w:vertAlign w:val="superscript"/>
          <w:lang w:val="hr-HR"/>
        </w:rPr>
        <w:t>4,15</w:t>
      </w:r>
      <w:r w:rsidRPr="00F55550">
        <w:rPr>
          <w:lang w:val="hr-HR"/>
        </w:rPr>
        <w:t>.</w:t>
      </w:r>
      <w:r w:rsidRPr="001E2268">
        <w:rPr>
          <w:lang w:val="hr-HR"/>
        </w:rPr>
        <w:t xml:space="preserve"> Fosforilacija se odvija pomoću kazein kinaze 1 (CK-1) i to isključivo na potpuno zrelim β-sekretazama nakon uklanjanja prodomene i </w:t>
      </w:r>
      <w:r w:rsidRPr="001E2268">
        <w:rPr>
          <w:i/>
          <w:lang w:val="hr-HR"/>
        </w:rPr>
        <w:t>N</w:t>
      </w:r>
      <w:r w:rsidRPr="001E2268">
        <w:rPr>
          <w:lang w:val="hr-HR"/>
        </w:rPr>
        <w:t>-glikozilacije, što znači da se odvija nakon izlaska enzima iz endoplazmatskog retikulama, potencijalno u Golgijevom kompleksu</w:t>
      </w:r>
      <w:r w:rsidR="006957F0">
        <w:rPr>
          <w:vertAlign w:val="superscript"/>
          <w:lang w:val="hr-HR"/>
        </w:rPr>
        <w:t>16</w:t>
      </w:r>
      <w:r w:rsidRPr="001E2268">
        <w:rPr>
          <w:lang w:val="hr-HR"/>
        </w:rPr>
        <w:t xml:space="preserve">. Interesantno je da su razine enzima CK-1 povišene kod oboljelih od Alzheimerove bolesti, kao i to da peptidi Aβ aktiviraju CK-1 </w:t>
      </w:r>
      <w:r w:rsidRPr="001E2268">
        <w:rPr>
          <w:i/>
          <w:lang w:val="hr-HR"/>
        </w:rPr>
        <w:t>in vitro</w:t>
      </w:r>
      <w:r w:rsidRPr="001E2268">
        <w:rPr>
          <w:lang w:val="hr-HR"/>
        </w:rPr>
        <w:t>, što može sugerirati da alternacija fosforilacije β-sekretaza može imati utjecaja na razvoj patogeneze Alzheimerove bolesti</w:t>
      </w:r>
      <w:r w:rsidR="006957F0">
        <w:rPr>
          <w:vertAlign w:val="superscript"/>
          <w:lang w:val="hr-HR"/>
        </w:rPr>
        <w:t>16</w:t>
      </w:r>
      <w:r w:rsidRPr="001E2268">
        <w:rPr>
          <w:lang w:val="hr-HR"/>
        </w:rPr>
        <w:t xml:space="preserve">. Fosforilacija Ser498 utječe na unutarstaničnu lokalizaciju β-sekretaza što je pokazano praćenjem lokalizacije </w:t>
      </w:r>
      <w:r w:rsidRPr="001E2268">
        <w:rPr>
          <w:i/>
          <w:lang w:val="hr-HR"/>
        </w:rPr>
        <w:t>wild-type</w:t>
      </w:r>
      <w:r w:rsidRPr="001E2268">
        <w:rPr>
          <w:lang w:val="hr-HR"/>
        </w:rPr>
        <w:t xml:space="preserve"> enzima i S498A mutanta. </w:t>
      </w:r>
      <w:r w:rsidRPr="001E2268">
        <w:rPr>
          <w:i/>
          <w:lang w:val="hr-HR"/>
        </w:rPr>
        <w:t>Wild type</w:t>
      </w:r>
      <w:r w:rsidRPr="001E2268">
        <w:rPr>
          <w:lang w:val="hr-HR"/>
        </w:rPr>
        <w:t xml:space="preserve"> enzim predominantno je lokaliziran u jukstanuklearnim </w:t>
      </w:r>
      <w:r w:rsidR="001E2268" w:rsidRPr="001E2268">
        <w:rPr>
          <w:lang w:val="hr-HR"/>
        </w:rPr>
        <w:t>odjeljenjima</w:t>
      </w:r>
      <w:r w:rsidRPr="001E2268">
        <w:rPr>
          <w:lang w:val="hr-HR"/>
        </w:rPr>
        <w:t xml:space="preserve"> kao što je Golgijev kompleks, dok se nefosforilirani mutant češće nalazio u vezikularnim </w:t>
      </w:r>
      <w:r w:rsidR="001E2268" w:rsidRPr="001E2268">
        <w:rPr>
          <w:lang w:val="hr-HR"/>
        </w:rPr>
        <w:t>odjeljcima</w:t>
      </w:r>
      <w:r w:rsidRPr="001E2268">
        <w:rPr>
          <w:lang w:val="hr-HR"/>
        </w:rPr>
        <w:t xml:space="preserve"> poput ranih endosoma. Fosforilirane i nefosforilirane β-sekretaze transportiraju se na površinu stanice te ulaze u rane endosome, no fosforilacija je ključna za izlazak enzima iz ranog endosoma te odlazak u kasne endosome i Golgijev kompleks odakle se može </w:t>
      </w:r>
      <w:r w:rsidR="001E2268" w:rsidRPr="001E2268">
        <w:rPr>
          <w:lang w:val="hr-HR"/>
        </w:rPr>
        <w:t>re</w:t>
      </w:r>
      <w:r w:rsidR="000C15E1">
        <w:rPr>
          <w:lang w:val="hr-HR"/>
        </w:rPr>
        <w:t>c</w:t>
      </w:r>
      <w:r w:rsidR="001E2268" w:rsidRPr="001E2268">
        <w:rPr>
          <w:lang w:val="hr-HR"/>
        </w:rPr>
        <w:t>iklirati u sekretorne puteve</w:t>
      </w:r>
      <w:r w:rsidRPr="001E2268">
        <w:rPr>
          <w:lang w:val="hr-HR"/>
        </w:rPr>
        <w:t xml:space="preserve">. Također, budući da su β-sekretaze aktivne u kiselom području, </w:t>
      </w:r>
      <w:r w:rsidR="001E2268" w:rsidRPr="001E2268">
        <w:rPr>
          <w:lang w:val="hr-HR"/>
        </w:rPr>
        <w:t>pretežito</w:t>
      </w:r>
      <w:r w:rsidRPr="001E2268">
        <w:rPr>
          <w:lang w:val="hr-HR"/>
        </w:rPr>
        <w:t xml:space="preserve"> su aktivne upravo u prethodno navedenim </w:t>
      </w:r>
      <w:r w:rsidR="001E2268" w:rsidRPr="001E2268">
        <w:rPr>
          <w:lang w:val="hr-HR"/>
        </w:rPr>
        <w:t>staničnim odjeljcima</w:t>
      </w:r>
      <w:r w:rsidR="006957F0">
        <w:rPr>
          <w:vertAlign w:val="superscript"/>
          <w:lang w:val="hr-HR"/>
        </w:rPr>
        <w:t>16</w:t>
      </w:r>
      <w:r w:rsidRPr="001E2268">
        <w:rPr>
          <w:lang w:val="hr-HR"/>
        </w:rPr>
        <w:t>.</w:t>
      </w:r>
    </w:p>
    <w:p w14:paraId="6D5B5FC2" w14:textId="77777777" w:rsidR="00CE4A80" w:rsidRPr="00A44E6A" w:rsidRDefault="004A17C9" w:rsidP="00A44E6A">
      <w:pPr>
        <w:spacing w:line="360" w:lineRule="auto"/>
        <w:ind w:firstLine="680"/>
        <w:jc w:val="both"/>
        <w:rPr>
          <w:lang w:val="hr-HR"/>
        </w:rPr>
      </w:pPr>
      <w:r w:rsidRPr="00BF11D2">
        <w:rPr>
          <w:lang w:val="hr-HR"/>
        </w:rPr>
        <w:t>Osim fosforilacije Ser</w:t>
      </w:r>
      <w:r w:rsidR="00293342" w:rsidRPr="00BF11D2">
        <w:rPr>
          <w:lang w:val="hr-HR"/>
        </w:rPr>
        <w:t xml:space="preserve">498, za prijenos β-sekretaze uzmeđu endosoma i lizosoma te kontrolu njene razgradnje </w:t>
      </w:r>
      <w:r w:rsidR="00A846AE">
        <w:rPr>
          <w:lang w:val="hr-HR"/>
        </w:rPr>
        <w:t>važna</w:t>
      </w:r>
      <w:r w:rsidR="00293342" w:rsidRPr="00BF11D2">
        <w:rPr>
          <w:lang w:val="hr-HR"/>
        </w:rPr>
        <w:t xml:space="preserve"> je ubikvitinacija Lys50</w:t>
      </w:r>
      <w:r w:rsidR="00E21161">
        <w:rPr>
          <w:lang w:val="hr-HR"/>
        </w:rPr>
        <w:t>1</w:t>
      </w:r>
      <w:r w:rsidR="006957F0">
        <w:rPr>
          <w:vertAlign w:val="superscript"/>
          <w:lang w:val="hr-HR"/>
        </w:rPr>
        <w:t>15</w:t>
      </w:r>
      <w:r w:rsidR="00293342" w:rsidRPr="00BF11D2">
        <w:rPr>
          <w:lang w:val="hr-HR"/>
        </w:rPr>
        <w:t>.</w:t>
      </w:r>
      <w:r w:rsidR="00E21161">
        <w:rPr>
          <w:lang w:val="hr-HR"/>
        </w:rPr>
        <w:t xml:space="preserve"> Lys501 nalazi se na C-terminalnom kraju β-sekretaze uz dileucinski motiv na pozicijama 499 i 500.</w:t>
      </w:r>
      <w:r w:rsidR="006957F0">
        <w:rPr>
          <w:vertAlign w:val="superscript"/>
          <w:lang w:val="hr-HR"/>
        </w:rPr>
        <w:t>17</w:t>
      </w:r>
      <w:r w:rsidR="00293342" w:rsidRPr="00BF11D2">
        <w:rPr>
          <w:lang w:val="hr-HR"/>
        </w:rPr>
        <w:t xml:space="preserve"> </w:t>
      </w:r>
      <w:r w:rsidR="00293342" w:rsidRPr="00EF46FE">
        <w:rPr>
          <w:lang w:val="hr-HR"/>
        </w:rPr>
        <w:t>Istraživanja Kanga i suradnika pokazala su da izostanak ubikvitinacije</w:t>
      </w:r>
      <w:r w:rsidR="00A160A1">
        <w:rPr>
          <w:lang w:val="hr-HR"/>
        </w:rPr>
        <w:t xml:space="preserve"> </w:t>
      </w:r>
      <w:r w:rsidR="007A21C4">
        <w:rPr>
          <w:lang w:val="hr-HR"/>
        </w:rPr>
        <w:t xml:space="preserve">nema utjecaja na endocitozu </w:t>
      </w:r>
      <w:r w:rsidR="00293342" w:rsidRPr="00A160A1">
        <w:rPr>
          <w:lang w:val="hr-HR"/>
        </w:rPr>
        <w:t xml:space="preserve"> β-sekretaze</w:t>
      </w:r>
      <w:r w:rsidR="000A452A" w:rsidRPr="00A160A1">
        <w:rPr>
          <w:lang w:val="hr-HR"/>
        </w:rPr>
        <w:t xml:space="preserve">, </w:t>
      </w:r>
      <w:r w:rsidR="00BD49F4">
        <w:rPr>
          <w:lang w:val="hr-HR"/>
        </w:rPr>
        <w:t xml:space="preserve">ali </w:t>
      </w:r>
      <w:r w:rsidR="00A26BDA">
        <w:rPr>
          <w:lang w:val="hr-HR"/>
        </w:rPr>
        <w:t>odgađa njenu degradaciju</w:t>
      </w:r>
      <w:r w:rsidR="000A452A" w:rsidRPr="00A160A1">
        <w:rPr>
          <w:lang w:val="hr-HR"/>
        </w:rPr>
        <w:t>, što rezultira</w:t>
      </w:r>
      <w:r w:rsidR="00293342" w:rsidRPr="00A160A1">
        <w:rPr>
          <w:lang w:val="hr-HR"/>
        </w:rPr>
        <w:t xml:space="preserve"> akumulacij</w:t>
      </w:r>
      <w:r w:rsidR="000A452A" w:rsidRPr="00A160A1">
        <w:rPr>
          <w:lang w:val="hr-HR"/>
        </w:rPr>
        <w:t>om β-sekretaze</w:t>
      </w:r>
      <w:r w:rsidR="00293342" w:rsidRPr="00A160A1">
        <w:rPr>
          <w:lang w:val="hr-HR"/>
        </w:rPr>
        <w:t xml:space="preserve"> u ranim/kasnim endosomima, lizosom</w:t>
      </w:r>
      <w:r w:rsidR="000A452A" w:rsidRPr="00A160A1">
        <w:rPr>
          <w:lang w:val="hr-HR"/>
        </w:rPr>
        <w:t>u</w:t>
      </w:r>
      <w:r w:rsidR="00293342" w:rsidRPr="00A160A1">
        <w:rPr>
          <w:lang w:val="hr-HR"/>
        </w:rPr>
        <w:t xml:space="preserve"> i staničnoj membrani</w:t>
      </w:r>
      <w:r w:rsidR="006957F0">
        <w:rPr>
          <w:vertAlign w:val="superscript"/>
          <w:lang w:val="hr-HR"/>
        </w:rPr>
        <w:t>17</w:t>
      </w:r>
      <w:r w:rsidR="00293342" w:rsidRPr="00A160A1">
        <w:rPr>
          <w:lang w:val="hr-HR"/>
        </w:rPr>
        <w:t>.</w:t>
      </w:r>
      <w:r w:rsidR="000A452A" w:rsidRPr="00A26BDA">
        <w:rPr>
          <w:lang w:val="hr-HR"/>
        </w:rPr>
        <w:t xml:space="preserve"> S druge strane, narušavanje dileucinskog motiva onemogućava endocitozu β-sekretaze te uzrokuje njenu akumulaciju u staničnoj membrani,</w:t>
      </w:r>
      <w:r w:rsidR="00693670" w:rsidRPr="00A26BDA">
        <w:rPr>
          <w:lang w:val="hr-HR"/>
        </w:rPr>
        <w:t xml:space="preserve"> </w:t>
      </w:r>
      <w:r w:rsidR="000A452A" w:rsidRPr="00A26BDA">
        <w:rPr>
          <w:lang w:val="hr-HR"/>
        </w:rPr>
        <w:t>odgo</w:t>
      </w:r>
      <w:r w:rsidR="00693670" w:rsidRPr="00A26BDA">
        <w:rPr>
          <w:lang w:val="hr-HR"/>
        </w:rPr>
        <w:t>đeni transport u lizosom te usporenu razgradnju</w:t>
      </w:r>
      <w:r w:rsidR="000A452A" w:rsidRPr="00DD6F8A">
        <w:rPr>
          <w:lang w:val="hr-HR"/>
        </w:rPr>
        <w:t>. U slučaju dvostruke mutacije Lys501 i dileucinskog motiva</w:t>
      </w:r>
      <w:r w:rsidR="00693670" w:rsidRPr="00DD6F8A">
        <w:rPr>
          <w:lang w:val="hr-HR"/>
        </w:rPr>
        <w:t>,</w:t>
      </w:r>
      <w:r w:rsidR="000A452A" w:rsidRPr="00DD6F8A">
        <w:rPr>
          <w:lang w:val="hr-HR"/>
        </w:rPr>
        <w:t xml:space="preserve"> β-sekretaza se akumulira u trans-Golgijevoj mreži</w:t>
      </w:r>
      <w:r w:rsidR="00693670" w:rsidRPr="00DD6F8A">
        <w:rPr>
          <w:lang w:val="hr-HR"/>
        </w:rPr>
        <w:t xml:space="preserve">, dok je njena koncentracija </w:t>
      </w:r>
      <w:r w:rsidR="004F35EE" w:rsidRPr="00DD6F8A">
        <w:rPr>
          <w:lang w:val="hr-HR"/>
        </w:rPr>
        <w:t>u stanicama najviša u usporedbi s diviljim tipom enzima, odnosno mutantima kojima je izmjenjen Lys501 ili dileucinski motiv</w:t>
      </w:r>
      <w:r w:rsidR="00DD6F8A">
        <w:rPr>
          <w:lang w:val="hr-HR"/>
        </w:rPr>
        <w:t xml:space="preserve">. Ovi rezultati sugeriraju da </w:t>
      </w:r>
      <w:r w:rsidR="005B6845">
        <w:rPr>
          <w:lang w:val="hr-HR"/>
        </w:rPr>
        <w:t xml:space="preserve">su </w:t>
      </w:r>
      <w:r w:rsidR="00A846AE">
        <w:rPr>
          <w:lang w:val="hr-HR"/>
        </w:rPr>
        <w:t xml:space="preserve">očuvani </w:t>
      </w:r>
      <w:r w:rsidR="005B6845">
        <w:rPr>
          <w:lang w:val="hr-HR"/>
        </w:rPr>
        <w:t xml:space="preserve">Lys501 i </w:t>
      </w:r>
      <w:r w:rsidR="00A846AE">
        <w:rPr>
          <w:lang w:val="hr-HR"/>
        </w:rPr>
        <w:t xml:space="preserve">dileucinski motiv </w:t>
      </w:r>
      <w:r w:rsidR="005B6845">
        <w:rPr>
          <w:lang w:val="hr-HR"/>
        </w:rPr>
        <w:t>neophodni za transport β-sekretaze u lizosom i njenu kontroliranu razgradnju</w:t>
      </w:r>
      <w:r w:rsidR="006957F0">
        <w:rPr>
          <w:vertAlign w:val="superscript"/>
          <w:lang w:val="hr-HR"/>
        </w:rPr>
        <w:t>17</w:t>
      </w:r>
      <w:r w:rsidR="005B6845">
        <w:rPr>
          <w:lang w:val="hr-HR"/>
        </w:rPr>
        <w:t>.</w:t>
      </w:r>
    </w:p>
    <w:p w14:paraId="65759693" w14:textId="77777777" w:rsidR="00CE4A80" w:rsidRPr="00526F52" w:rsidRDefault="00CE4A80" w:rsidP="00CE4A80">
      <w:pPr>
        <w:pStyle w:val="OCJENSKIRADOVI2Podnaslovpoglavlja"/>
      </w:pPr>
      <w:bookmarkStart w:id="8" w:name="_Toc101271715"/>
      <w:r>
        <w:t>Proteini koji vežu β-sekretazu</w:t>
      </w:r>
      <w:bookmarkEnd w:id="8"/>
    </w:p>
    <w:p w14:paraId="6B1E8467" w14:textId="77777777" w:rsidR="007633A8" w:rsidRDefault="00CE4A80" w:rsidP="007633A8">
      <w:pPr>
        <w:spacing w:line="360" w:lineRule="auto"/>
        <w:jc w:val="both"/>
        <w:rPr>
          <w:lang w:val="hr-HR"/>
        </w:rPr>
      </w:pPr>
      <w:r w:rsidRPr="00FC38BC">
        <w:rPr>
          <w:lang w:val="hr-HR"/>
        </w:rPr>
        <w:t xml:space="preserve">Nekolicina proteina identificirana je kao potencijalni partneri β-sekretaze koji potpomažu njeno proteazno djelovanje na protein APP, a većinom je riječ o proteinima koji se pomoću glikozilfosfatidilinozitola (GPI) usidruju u lipidne splavi te potiču regrutaciju β-sekretaze na </w:t>
      </w:r>
      <w:r w:rsidRPr="00FC38BC">
        <w:rPr>
          <w:lang w:val="hr-HR"/>
        </w:rPr>
        <w:lastRenderedPageBreak/>
        <w:t>splavi i njeno vezanje proteina APP.</w:t>
      </w:r>
      <w:r w:rsidR="006957F0">
        <w:rPr>
          <w:vertAlign w:val="superscript"/>
          <w:lang w:val="hr-HR"/>
        </w:rPr>
        <w:t>4</w:t>
      </w:r>
      <w:r w:rsidRPr="00FC38BC">
        <w:rPr>
          <w:vertAlign w:val="superscript"/>
          <w:lang w:val="hr-HR"/>
        </w:rPr>
        <w:t xml:space="preserve"> </w:t>
      </w:r>
      <w:r w:rsidRPr="00EE4A7E">
        <w:rPr>
          <w:lang w:val="hr-HR"/>
        </w:rPr>
        <w:t xml:space="preserve">Lipidne splavi </w:t>
      </w:r>
      <w:r w:rsidR="00965753" w:rsidRPr="00EE4A7E">
        <w:rPr>
          <w:lang w:val="hr-HR"/>
        </w:rPr>
        <w:t xml:space="preserve">su dijelovi membrane </w:t>
      </w:r>
      <w:r w:rsidRPr="00EE4A7E">
        <w:rPr>
          <w:lang w:val="hr-HR"/>
        </w:rPr>
        <w:t>bogat</w:t>
      </w:r>
      <w:r w:rsidR="00EE4A7E" w:rsidRPr="00EE4A7E">
        <w:rPr>
          <w:lang w:val="hr-HR"/>
        </w:rPr>
        <w:t>i</w:t>
      </w:r>
      <w:r w:rsidRPr="00EE4A7E">
        <w:rPr>
          <w:lang w:val="hr-HR"/>
        </w:rPr>
        <w:t xml:space="preserve"> sfingolipidima i kolesterolom</w:t>
      </w:r>
      <w:r w:rsidR="006957F0">
        <w:rPr>
          <w:vertAlign w:val="superscript"/>
          <w:lang w:val="hr-HR"/>
        </w:rPr>
        <w:t>5</w:t>
      </w:r>
      <w:r w:rsidRPr="00EE4A7E">
        <w:rPr>
          <w:lang w:val="hr-HR"/>
        </w:rPr>
        <w:t xml:space="preserve">, te služe kao platforme za odvijanje raznih staničnih procesa. </w:t>
      </w:r>
    </w:p>
    <w:p w14:paraId="0CCA5F0E" w14:textId="77777777" w:rsidR="00CE4A80" w:rsidRPr="00D51B92" w:rsidRDefault="00CE4A80" w:rsidP="007633A8">
      <w:pPr>
        <w:spacing w:line="360" w:lineRule="auto"/>
        <w:ind w:firstLine="360"/>
        <w:jc w:val="both"/>
        <w:rPr>
          <w:highlight w:val="yellow"/>
          <w:lang w:val="hr-HR"/>
        </w:rPr>
      </w:pPr>
      <w:r w:rsidRPr="00EE4A7E">
        <w:rPr>
          <w:lang w:val="hr-HR"/>
        </w:rPr>
        <w:t xml:space="preserve">Kolesterol je dobio pozornost u istraživanju Alzheimerove bolesti budući da je nasljeđivanje jednog ili oba </w:t>
      </w:r>
      <w:bookmarkStart w:id="9" w:name="_Hlk112322862"/>
      <w:r w:rsidRPr="00EE4A7E">
        <w:rPr>
          <w:i/>
          <w:lang w:val="hr-HR"/>
        </w:rPr>
        <w:t>ε</w:t>
      </w:r>
      <w:r w:rsidRPr="00EE4A7E">
        <w:rPr>
          <w:lang w:val="hr-HR"/>
        </w:rPr>
        <w:t xml:space="preserve">4 alela apolipoproteina E (ApoE4) </w:t>
      </w:r>
      <w:bookmarkEnd w:id="9"/>
      <w:r w:rsidRPr="00EE4A7E">
        <w:rPr>
          <w:lang w:val="hr-HR"/>
        </w:rPr>
        <w:t xml:space="preserve">prvi otkriveni rizični genetički faktor za razvoj </w:t>
      </w:r>
      <w:r w:rsidR="00EE4A7E">
        <w:rPr>
          <w:lang w:val="hr-HR"/>
        </w:rPr>
        <w:t>kasnog oblika (</w:t>
      </w:r>
      <w:r w:rsidR="00EE4A7E" w:rsidRPr="00572085">
        <w:rPr>
          <w:i/>
          <w:lang w:val="hr-HR"/>
        </w:rPr>
        <w:t>late-onset</w:t>
      </w:r>
      <w:r w:rsidR="00EE4A7E">
        <w:rPr>
          <w:lang w:val="hr-HR"/>
        </w:rPr>
        <w:t xml:space="preserve">) </w:t>
      </w:r>
      <w:r w:rsidRPr="00EE4A7E">
        <w:rPr>
          <w:lang w:val="hr-HR"/>
        </w:rPr>
        <w:t>Alzheimerove bolesti</w:t>
      </w:r>
      <w:r w:rsidR="0041563A">
        <w:rPr>
          <w:vertAlign w:val="superscript"/>
          <w:lang w:val="hr-HR"/>
        </w:rPr>
        <w:t>9</w:t>
      </w:r>
      <w:r w:rsidRPr="00EE4A7E">
        <w:rPr>
          <w:lang w:val="hr-HR"/>
        </w:rPr>
        <w:t>.</w:t>
      </w:r>
      <w:r w:rsidR="000E7831">
        <w:rPr>
          <w:lang w:val="hr-HR"/>
        </w:rPr>
        <w:t xml:space="preserve"> </w:t>
      </w:r>
      <w:r w:rsidRPr="000E7831">
        <w:rPr>
          <w:lang w:val="hr-HR"/>
        </w:rPr>
        <w:t xml:space="preserve">Iako nema dokaza da ApoE4 direktno uzrokuje povećanu produkciju peptida Aβ, </w:t>
      </w:r>
      <w:r w:rsidR="000E7831" w:rsidRPr="000E7831">
        <w:rPr>
          <w:lang w:val="hr-HR"/>
        </w:rPr>
        <w:t xml:space="preserve">pretpostavlja se da </w:t>
      </w:r>
      <w:r w:rsidRPr="000E7831">
        <w:rPr>
          <w:lang w:val="hr-HR"/>
        </w:rPr>
        <w:t>njegova prisutnost uzrokuje porast razine Aβ u mozgu poticanjem agregacije peptida ili utišavanjem uklanjanja nastalih amiloidnih plakova</w:t>
      </w:r>
      <w:r w:rsidR="0041563A">
        <w:rPr>
          <w:vertAlign w:val="superscript"/>
          <w:lang w:val="hr-HR"/>
        </w:rPr>
        <w:t>9</w:t>
      </w:r>
      <w:r w:rsidRPr="000E7831">
        <w:rPr>
          <w:lang w:val="hr-HR"/>
        </w:rPr>
        <w:t>. Budući da apolipoproteini imaju ulogu u transportu kolesterola</w:t>
      </w:r>
      <w:r w:rsidR="0041563A">
        <w:rPr>
          <w:vertAlign w:val="superscript"/>
          <w:lang w:val="hr-HR"/>
        </w:rPr>
        <w:t>5</w:t>
      </w:r>
      <w:r w:rsidRPr="000E7831">
        <w:rPr>
          <w:lang w:val="hr-HR"/>
        </w:rPr>
        <w:t>, prirodno je bilo ispitati ulogu kolesterola u razvoju patologije Alzheimerove bolesti</w:t>
      </w:r>
      <w:r w:rsidRPr="00CA362C">
        <w:rPr>
          <w:lang w:val="hr-HR"/>
        </w:rPr>
        <w:t xml:space="preserve">. Istraživanje Simonsa i suradnika pokazalo je da </w:t>
      </w:r>
      <w:bookmarkStart w:id="10" w:name="_Hlk112334138"/>
      <w:r w:rsidRPr="00CA362C">
        <w:rPr>
          <w:lang w:val="hr-HR"/>
        </w:rPr>
        <w:t>se u uvjetima reducirane količine kolesterola u stanicama ne smanjuje produkcija APP</w:t>
      </w:r>
      <w:r w:rsidRPr="00CA362C">
        <w:rPr>
          <w:vertAlign w:val="subscript"/>
          <w:lang w:val="hr-HR"/>
        </w:rPr>
        <w:t>sec</w:t>
      </w:r>
      <w:r w:rsidRPr="00CA362C">
        <w:rPr>
          <w:lang w:val="hr-HR"/>
        </w:rPr>
        <w:t xml:space="preserve"> (ektodomena proteina APP) koji nastaje kao posljedica djelovanja α-sekretaza, no dolazi do inhibicije produkcije peptida Aβ kao posljedice inhibicije hidrolize </w:t>
      </w:r>
      <w:r w:rsidR="00A73637" w:rsidRPr="00CA362C">
        <w:rPr>
          <w:lang w:val="hr-HR"/>
        </w:rPr>
        <w:t xml:space="preserve">proteina APP </w:t>
      </w:r>
      <w:r w:rsidRPr="00CA362C">
        <w:rPr>
          <w:lang w:val="hr-HR"/>
        </w:rPr>
        <w:t>β-sekretazom</w:t>
      </w:r>
      <w:bookmarkEnd w:id="10"/>
      <w:r w:rsidR="0041563A">
        <w:rPr>
          <w:vertAlign w:val="superscript"/>
          <w:lang w:val="hr-HR"/>
        </w:rPr>
        <w:t>18</w:t>
      </w:r>
      <w:r w:rsidR="00CA362C">
        <w:rPr>
          <w:lang w:val="hr-HR"/>
        </w:rPr>
        <w:t>.</w:t>
      </w:r>
      <w:r w:rsidRPr="0075460A">
        <w:rPr>
          <w:lang w:val="hr-HR"/>
        </w:rPr>
        <w:t xml:space="preserve"> Ehehalt i suradnici pokazali su da produkcija peptida Aβ ovisi o integritetu lipidnih splav</w:t>
      </w:r>
      <w:r w:rsidR="00453124" w:rsidRPr="0075460A">
        <w:rPr>
          <w:lang w:val="hr-HR"/>
        </w:rPr>
        <w:t>i</w:t>
      </w:r>
      <w:r w:rsidRPr="0075460A">
        <w:rPr>
          <w:lang w:val="hr-HR"/>
        </w:rPr>
        <w:t xml:space="preserve"> koji je narušen u uvjetima u kojima je količina kolesterola u stanici reducirana. Osim što je produkcija Aβ smanjena narušavanjem integriteta lipidnih splavi, odnosno uklanjanjem kolesterola iz stanice, ulogu splavi pri djelovanju β-sekretaza implicira i ranije spomenuta činjenica da su β-sekretaze palmitoilirane na tri Cys bočna ogranka u transmembranskoj i citosolnoj domeni, što je karakteristika proteina asociranih s lipidnim splavima</w:t>
      </w:r>
      <w:r w:rsidR="0041563A">
        <w:rPr>
          <w:vertAlign w:val="superscript"/>
          <w:lang w:val="hr-HR"/>
        </w:rPr>
        <w:t>19</w:t>
      </w:r>
      <w:r w:rsidRPr="0075460A">
        <w:rPr>
          <w:lang w:val="hr-HR"/>
        </w:rPr>
        <w:t>.</w:t>
      </w:r>
      <w:r w:rsidRPr="009B7BBC">
        <w:rPr>
          <w:lang w:val="hr-HR"/>
        </w:rPr>
        <w:t xml:space="preserve"> </w:t>
      </w:r>
      <w:bookmarkStart w:id="11" w:name="_Hlk112339013"/>
      <w:bookmarkStart w:id="12" w:name="_GoBack"/>
      <w:r w:rsidRPr="009B7BBC">
        <w:rPr>
          <w:lang w:val="hr-HR"/>
        </w:rPr>
        <w:t xml:space="preserve">Budući da </w:t>
      </w:r>
      <w:r w:rsidR="009B7BBC">
        <w:rPr>
          <w:lang w:val="hr-HR"/>
        </w:rPr>
        <w:t>nedostatak</w:t>
      </w:r>
      <w:r w:rsidRPr="009B7BBC">
        <w:rPr>
          <w:lang w:val="hr-HR"/>
        </w:rPr>
        <w:t xml:space="preserve"> kolesterola u stanici ne utječe na djelovanje α-sekretaza, pretpostavljeno je da</w:t>
      </w:r>
      <w:r w:rsidR="009B7BBC" w:rsidRPr="009B7BBC">
        <w:rPr>
          <w:lang w:val="hr-HR"/>
        </w:rPr>
        <w:t xml:space="preserve"> </w:t>
      </w:r>
      <w:r w:rsidRPr="009B7BBC">
        <w:rPr>
          <w:lang w:val="hr-HR"/>
        </w:rPr>
        <w:t xml:space="preserve">se proteini APP javljaju u dva stanična „bazena“, od kojih je jedan asociran s lipidnim splavima gdje </w:t>
      </w:r>
      <w:r w:rsidR="009B7BBC">
        <w:rPr>
          <w:lang w:val="hr-HR"/>
        </w:rPr>
        <w:t xml:space="preserve">protein APP </w:t>
      </w:r>
      <w:r w:rsidRPr="009B7BBC">
        <w:rPr>
          <w:lang w:val="hr-HR"/>
        </w:rPr>
        <w:t>podlijež</w:t>
      </w:r>
      <w:r w:rsidR="009B7BBC">
        <w:rPr>
          <w:lang w:val="hr-HR"/>
        </w:rPr>
        <w:t>e</w:t>
      </w:r>
      <w:r w:rsidRPr="009B7BBC">
        <w:rPr>
          <w:lang w:val="hr-HR"/>
        </w:rPr>
        <w:t xml:space="preserve"> hidrolizi potpomognutoj β-sekretazama, dok drugi nije asociran sa splavima te je područje djelovanja α-sekretaza</w:t>
      </w:r>
      <w:r w:rsidR="0041563A">
        <w:rPr>
          <w:vertAlign w:val="superscript"/>
          <w:lang w:val="hr-HR"/>
        </w:rPr>
        <w:t>19</w:t>
      </w:r>
      <w:bookmarkEnd w:id="11"/>
      <w:bookmarkEnd w:id="12"/>
      <w:r w:rsidRPr="009B7BBC">
        <w:rPr>
          <w:lang w:val="hr-HR"/>
        </w:rPr>
        <w:t>. Iz navedenih i brojnih sličnih istraživanja jasno je da proteini koji potpomažu asocijaciju β-sekretaza u lipidne splavi imaju potencijalno važnu ulogu u nastanku amiloidnih plakova te su u nastavku navedeni neki od njih.</w:t>
      </w:r>
    </w:p>
    <w:p w14:paraId="4AAD4479" w14:textId="77777777" w:rsidR="00CE4A80" w:rsidRPr="00F773E8" w:rsidRDefault="00CE4A80" w:rsidP="00CE4A80">
      <w:pPr>
        <w:spacing w:line="360" w:lineRule="auto"/>
        <w:ind w:firstLine="360"/>
        <w:jc w:val="both"/>
        <w:rPr>
          <w:vertAlign w:val="superscript"/>
        </w:rPr>
      </w:pPr>
      <w:r w:rsidRPr="00F773E8">
        <w:rPr>
          <w:lang w:val="hr-HR"/>
        </w:rPr>
        <w:t>Protein prion (</w:t>
      </w:r>
      <w:r w:rsidRPr="00F773E8">
        <w:rPr>
          <w:i/>
          <w:u w:val="single"/>
        </w:rPr>
        <w:t>pr</w:t>
      </w:r>
      <w:r w:rsidRPr="00F773E8">
        <w:rPr>
          <w:i/>
        </w:rPr>
        <w:t xml:space="preserve">oteinaceous </w:t>
      </w:r>
      <w:r w:rsidRPr="00F773E8">
        <w:rPr>
          <w:i/>
          <w:u w:val="single"/>
        </w:rPr>
        <w:t>i</w:t>
      </w:r>
      <w:r w:rsidRPr="00F773E8">
        <w:rPr>
          <w:i/>
        </w:rPr>
        <w:t xml:space="preserve">nfectious </w:t>
      </w:r>
      <w:r w:rsidRPr="00F773E8">
        <w:rPr>
          <w:i/>
          <w:u w:val="single"/>
        </w:rPr>
        <w:t>on</w:t>
      </w:r>
      <w:r w:rsidRPr="00F773E8">
        <w:rPr>
          <w:i/>
        </w:rPr>
        <w:t>ly</w:t>
      </w:r>
      <w:r w:rsidRPr="00F773E8">
        <w:t>, PrP) nalazi se u moždanom tkivu svih sisavaca. Iako njegovo djelovanje nije u potpunosti poznato, pretpostavlja se da ima ulogu u molekulskoj signalizaciji</w:t>
      </w:r>
      <w:r w:rsidR="0041563A">
        <w:rPr>
          <w:vertAlign w:val="superscript"/>
        </w:rPr>
        <w:t>5</w:t>
      </w:r>
      <w:r w:rsidRPr="00F773E8">
        <w:t>. Pogrešno smotani protein uzrok je rijetkih neurodegenerativnih bolesti kod sisavaca, kao što su Creutzfeldt-Jakobova bolest kod ljudi, odnosno bolest kravljeg ludila kod goveda. Ove bolesti nazivaju se još i spongiformnim encefalopatijama zbog rupa koje nastaju u sivoj tvari mozga</w:t>
      </w:r>
      <w:r w:rsidR="0041563A">
        <w:rPr>
          <w:vertAlign w:val="superscript"/>
        </w:rPr>
        <w:t>5</w:t>
      </w:r>
      <w:r w:rsidR="00B6605C">
        <w:t>.</w:t>
      </w:r>
      <w:r w:rsidRPr="00F773E8">
        <w:rPr>
          <w:b/>
          <w:vertAlign w:val="superscript"/>
        </w:rPr>
        <w:t xml:space="preserve"> </w:t>
      </w:r>
      <w:r w:rsidRPr="00F773E8">
        <w:t xml:space="preserve">PrP posjeduje GPI sidro te se usidruje u lipidne splavi, a pokazano je da inhibira djelovanje β-sekretaza na protein APP. Budući da nema dokaza da to </w:t>
      </w:r>
      <w:r w:rsidRPr="00F773E8">
        <w:lastRenderedPageBreak/>
        <w:t xml:space="preserve">čini direktno, pretpostavlja se da do inhibicije dolazi lokalizacijom svih triju komponenti (APP, β-sekretaza </w:t>
      </w:r>
      <w:r w:rsidRPr="00F773E8">
        <w:rPr>
          <w:lang w:val="hr-HR"/>
        </w:rPr>
        <w:t>i PrP)</w:t>
      </w:r>
      <w:r w:rsidRPr="00F773E8">
        <w:t xml:space="preserve"> u lipidnim splavima</w:t>
      </w:r>
      <w:r w:rsidR="0041563A">
        <w:rPr>
          <w:vertAlign w:val="superscript"/>
        </w:rPr>
        <w:t>4</w:t>
      </w:r>
      <w:r w:rsidRPr="00F773E8">
        <w:t>.</w:t>
      </w:r>
    </w:p>
    <w:p w14:paraId="7428AC1F" w14:textId="77777777" w:rsidR="00CE4A80" w:rsidRPr="0041563A" w:rsidRDefault="00CE4A80" w:rsidP="00CE4A80">
      <w:pPr>
        <w:spacing w:line="360" w:lineRule="auto"/>
        <w:ind w:firstLine="360"/>
        <w:jc w:val="both"/>
        <w:rPr>
          <w:vertAlign w:val="superscript"/>
          <w:lang w:val="hr-HR"/>
        </w:rPr>
      </w:pPr>
      <w:r w:rsidRPr="0068209E">
        <w:rPr>
          <w:lang w:val="hr-HR"/>
        </w:rPr>
        <w:t>Kaveolini (CAV-1) i flotilini (FLOT-1) su proteini koji čine važne komponente lipidnih splavi. Koimunoprecipitacijom je ustanovljno da FLOT-1 veže β-sekretazu, dok za CAV-1 vezanje nije ustanovljeno. Ipak, u stanicama s prekomjernom ekspresijom oba proteina povećan je udio sekretaza vezanih u lipidne splavi, što sugerira da se enzim ondje našao nakon interakcije s FLOT-1 i CAV-1 proteinima</w:t>
      </w:r>
      <w:r w:rsidR="0041563A">
        <w:rPr>
          <w:vertAlign w:val="superscript"/>
          <w:lang w:val="hr-HR"/>
        </w:rPr>
        <w:t>20</w:t>
      </w:r>
      <w:r w:rsidRPr="0068209E">
        <w:rPr>
          <w:lang w:val="hr-HR"/>
        </w:rPr>
        <w:t>. Zanimljivo je da, iako prekomjerna ekspresija ovih proteina potiče regrutaciju β-sekretaza u lipidne splavi, aktivnost enzima je u navedenim uvjetima smanjena. Moguće objašnjenje je da vezanje FLOT-1 (ili potencijalno CAV-1) na β-sekretazu zaklanja njeno aktivno mjesto što onemogućava normalno procesiranje proteina APP.</w:t>
      </w:r>
      <w:r w:rsidR="0041563A">
        <w:rPr>
          <w:vertAlign w:val="superscript"/>
          <w:lang w:val="hr-HR"/>
        </w:rPr>
        <w:t>20</w:t>
      </w:r>
    </w:p>
    <w:p w14:paraId="57601D1E" w14:textId="77777777" w:rsidR="00CE4A80" w:rsidRPr="0041563A" w:rsidRDefault="00CE4A80" w:rsidP="00CE4A80">
      <w:pPr>
        <w:spacing w:line="360" w:lineRule="auto"/>
        <w:ind w:firstLine="360"/>
        <w:jc w:val="both"/>
        <w:rPr>
          <w:highlight w:val="yellow"/>
          <w:vertAlign w:val="superscript"/>
          <w:lang w:val="hr-HR"/>
        </w:rPr>
      </w:pPr>
      <w:r w:rsidRPr="002949D6">
        <w:rPr>
          <w:lang w:val="hr-HR"/>
        </w:rPr>
        <w:t>Retikuloni (RTN) su grupa proteina koje čine RTN1, RTN2, RTN3 i RTN4</w:t>
      </w:r>
      <w:r w:rsidR="0041563A">
        <w:rPr>
          <w:vertAlign w:val="superscript"/>
          <w:lang w:val="hr-HR"/>
        </w:rPr>
        <w:t>21</w:t>
      </w:r>
      <w:r w:rsidRPr="002949D6">
        <w:rPr>
          <w:lang w:val="hr-HR"/>
        </w:rPr>
        <w:t>, od kojih je najznačajniji RTN4</w:t>
      </w:r>
      <w:r w:rsidR="001403AA">
        <w:rPr>
          <w:lang w:val="hr-HR"/>
        </w:rPr>
        <w:t>–</w:t>
      </w:r>
      <w:r w:rsidRPr="002949D6">
        <w:rPr>
          <w:lang w:val="hr-HR"/>
        </w:rPr>
        <w:t>A koji je značajno eksprimiran u oligodendrocitima u mozgu te djeluje kao inhibitor izrastanja neurita.</w:t>
      </w:r>
      <w:r w:rsidR="0041563A">
        <w:rPr>
          <w:vertAlign w:val="superscript"/>
          <w:lang w:val="hr-HR"/>
        </w:rPr>
        <w:t>22</w:t>
      </w:r>
      <w:r w:rsidR="004629DF">
        <w:rPr>
          <w:lang w:val="hr-HR"/>
        </w:rPr>
        <w:t xml:space="preserve"> </w:t>
      </w:r>
      <w:r w:rsidRPr="002C1092">
        <w:rPr>
          <w:lang w:val="hr-HR"/>
        </w:rPr>
        <w:t>RTN</w:t>
      </w:r>
      <w:r w:rsidR="001403AA">
        <w:rPr>
          <w:lang w:val="hr-HR"/>
        </w:rPr>
        <w:t>4–B, RTN4–C i RTN3</w:t>
      </w:r>
      <w:r w:rsidR="004629DF">
        <w:rPr>
          <w:lang w:val="hr-HR"/>
        </w:rPr>
        <w:t xml:space="preserve"> </w:t>
      </w:r>
      <w:r w:rsidRPr="002C1092">
        <w:rPr>
          <w:lang w:val="hr-HR"/>
        </w:rPr>
        <w:t>interagiraju s transmembranskom domenom β-sekretaza preko očuvane RHD domene (RTN homologna domena) što znači da ne djeluju direktno na katalitičku domenu enzima koja se nalazi na N-kraju.</w:t>
      </w:r>
      <w:r w:rsidR="0041563A">
        <w:rPr>
          <w:vertAlign w:val="superscript"/>
          <w:lang w:val="hr-HR"/>
        </w:rPr>
        <w:t>21</w:t>
      </w:r>
      <w:r w:rsidRPr="002C1092">
        <w:rPr>
          <w:lang w:val="hr-HR"/>
        </w:rPr>
        <w:t xml:space="preserve"> </w:t>
      </w:r>
      <w:r w:rsidRPr="004629DF">
        <w:rPr>
          <w:lang w:val="hr-HR"/>
        </w:rPr>
        <w:t xml:space="preserve">Prekomjerna ekspresija RTN4B/C i RTN3 smanjuje produkciju peptida Aβ40 i Aβ42, ali njihova prisutnost nema utjecaja na produkciju Aβ u stanicama koje eksprimiraju CTFβ peptid, što znači da fizička interakcija RTN proteina i β-sekretaze inhibira njeno </w:t>
      </w:r>
      <w:r w:rsidR="004629DF" w:rsidRPr="004629DF">
        <w:rPr>
          <w:lang w:val="hr-HR"/>
        </w:rPr>
        <w:t xml:space="preserve">proteazno </w:t>
      </w:r>
      <w:r w:rsidRPr="004629DF">
        <w:rPr>
          <w:lang w:val="hr-HR"/>
        </w:rPr>
        <w:t>djelovanje</w:t>
      </w:r>
      <w:r w:rsidR="004629DF" w:rsidRPr="004629DF">
        <w:rPr>
          <w:lang w:val="hr-HR"/>
        </w:rPr>
        <w:t xml:space="preserve"> na protein APP</w:t>
      </w:r>
      <w:r w:rsidRPr="004629DF">
        <w:rPr>
          <w:lang w:val="hr-HR"/>
        </w:rPr>
        <w:t>, no RTN proteini ne ometaju djelovanje γ-sekretaze na CTFβ.</w:t>
      </w:r>
      <w:r w:rsidR="0041563A">
        <w:rPr>
          <w:vertAlign w:val="superscript"/>
          <w:lang w:val="hr-HR"/>
        </w:rPr>
        <w:t>21</w:t>
      </w:r>
    </w:p>
    <w:p w14:paraId="1D49EB7B" w14:textId="77777777" w:rsidR="00D51B92" w:rsidRPr="0041563A" w:rsidRDefault="009B1840" w:rsidP="00EB2DF0">
      <w:pPr>
        <w:spacing w:line="360" w:lineRule="auto"/>
        <w:ind w:firstLine="360"/>
        <w:jc w:val="both"/>
        <w:rPr>
          <w:color w:val="212121"/>
          <w:shd w:val="clear" w:color="auto" w:fill="FFFFFF"/>
          <w:vertAlign w:val="superscript"/>
          <w:lang w:val="hr-HR"/>
        </w:rPr>
      </w:pPr>
      <w:r>
        <w:rPr>
          <w:lang w:val="hr-HR"/>
        </w:rPr>
        <w:t>Locirani su b</w:t>
      </w:r>
      <w:r w:rsidR="00CE4A80" w:rsidRPr="008C1A18">
        <w:rPr>
          <w:lang w:val="hr-HR"/>
        </w:rPr>
        <w:t xml:space="preserve">rojni </w:t>
      </w:r>
      <w:r>
        <w:rPr>
          <w:lang w:val="hr-HR"/>
        </w:rPr>
        <w:t>drugi</w:t>
      </w:r>
      <w:r w:rsidRPr="008C1A18">
        <w:rPr>
          <w:lang w:val="hr-HR"/>
        </w:rPr>
        <w:t xml:space="preserve"> </w:t>
      </w:r>
      <w:r w:rsidR="00CE4A80" w:rsidRPr="008C1A18">
        <w:rPr>
          <w:lang w:val="hr-HR"/>
        </w:rPr>
        <w:t>proteinski partneri β-sekretaza čije uloge su slabo poznate i tek treba</w:t>
      </w:r>
      <w:r>
        <w:rPr>
          <w:lang w:val="hr-HR"/>
        </w:rPr>
        <w:t>ju</w:t>
      </w:r>
      <w:r w:rsidR="00CE4A80" w:rsidRPr="008C1A18">
        <w:rPr>
          <w:lang w:val="hr-HR"/>
        </w:rPr>
        <w:t xml:space="preserve"> </w:t>
      </w:r>
      <w:r>
        <w:rPr>
          <w:lang w:val="hr-HR"/>
        </w:rPr>
        <w:t>biti razjašnjene</w:t>
      </w:r>
      <w:r w:rsidR="00CE4A80" w:rsidRPr="008C1A18">
        <w:rPr>
          <w:lang w:val="hr-HR"/>
        </w:rPr>
        <w:t xml:space="preserve">. </w:t>
      </w:r>
      <w:r>
        <w:rPr>
          <w:lang w:val="hr-HR"/>
        </w:rPr>
        <w:t xml:space="preserve">Tako npr. </w:t>
      </w:r>
      <w:r w:rsidR="00CE4A80" w:rsidRPr="008C1A18">
        <w:rPr>
          <w:lang w:val="hr-HR"/>
        </w:rPr>
        <w:t>SORL1 (</w:t>
      </w:r>
      <w:r w:rsidR="00CE4A80" w:rsidRPr="008C1A18">
        <w:rPr>
          <w:i/>
          <w:lang w:val="hr-HR"/>
        </w:rPr>
        <w:t>Sortillin related receptor</w:t>
      </w:r>
      <w:r w:rsidR="00CE4A80" w:rsidRPr="008C1A18">
        <w:rPr>
          <w:lang w:val="hr-HR"/>
        </w:rPr>
        <w:t xml:space="preserve">) interagira s β-sekretazom u Golgijevom aparatu i direktno inhibira nastanak enzim/APP kompleksa. </w:t>
      </w:r>
      <w:r w:rsidR="007633A8">
        <w:rPr>
          <w:lang w:val="hr-HR"/>
        </w:rPr>
        <w:t>Koncentracija</w:t>
      </w:r>
      <w:r w:rsidR="007633A8" w:rsidRPr="008C1A18">
        <w:rPr>
          <w:lang w:val="hr-HR"/>
        </w:rPr>
        <w:t xml:space="preserve"> </w:t>
      </w:r>
      <w:r w:rsidR="00CE4A80" w:rsidRPr="008C1A18">
        <w:rPr>
          <w:lang w:val="hr-HR"/>
        </w:rPr>
        <w:t>SORL1 je smanjena kod oboljelih od Alzheimerove bolesti zbog čega se plakovi Aβ lakše talože</w:t>
      </w:r>
      <w:r w:rsidR="0041563A">
        <w:rPr>
          <w:vertAlign w:val="superscript"/>
          <w:lang w:val="hr-HR"/>
        </w:rPr>
        <w:t>4</w:t>
      </w:r>
      <w:r w:rsidR="00CE4A80" w:rsidRPr="00584592">
        <w:rPr>
          <w:lang w:val="hr-HR"/>
        </w:rPr>
        <w:t>.</w:t>
      </w:r>
      <w:r w:rsidR="00CE4A80" w:rsidRPr="00114E64">
        <w:rPr>
          <w:color w:val="212121"/>
          <w:shd w:val="clear" w:color="auto" w:fill="FFFFFF"/>
          <w:lang w:val="hr-HR"/>
        </w:rPr>
        <w:t xml:space="preserve"> </w:t>
      </w:r>
      <w:r w:rsidR="00CE4A80" w:rsidRPr="0057194C">
        <w:rPr>
          <w:color w:val="212121"/>
          <w:shd w:val="clear" w:color="auto" w:fill="FFFFFF"/>
          <w:lang w:val="hr-HR"/>
        </w:rPr>
        <w:t>GGA</w:t>
      </w:r>
      <w:r w:rsidR="0057194C" w:rsidRPr="0057194C">
        <w:rPr>
          <w:color w:val="212121"/>
          <w:shd w:val="clear" w:color="auto" w:fill="FFFFFF"/>
          <w:lang w:val="hr-HR"/>
        </w:rPr>
        <w:t xml:space="preserve"> proteini</w:t>
      </w:r>
      <w:r w:rsidR="00CE4A80" w:rsidRPr="0057194C">
        <w:rPr>
          <w:color w:val="212121"/>
          <w:shd w:val="clear" w:color="auto" w:fill="FFFFFF"/>
          <w:lang w:val="hr-HR"/>
        </w:rPr>
        <w:t xml:space="preserve"> </w:t>
      </w:r>
      <w:r w:rsidR="0057194C" w:rsidRPr="0057194C">
        <w:rPr>
          <w:color w:val="212121"/>
          <w:shd w:val="clear" w:color="auto" w:fill="FFFFFF"/>
          <w:lang w:val="hr-HR"/>
        </w:rPr>
        <w:t>(</w:t>
      </w:r>
      <w:r w:rsidR="0057194C" w:rsidRPr="0057194C">
        <w:rPr>
          <w:i/>
          <w:color w:val="222222"/>
          <w:shd w:val="clear" w:color="auto" w:fill="FFFFFF"/>
        </w:rPr>
        <w:t>Golgi-localized, γ-ear-containing, Arf (ADP-ribosylation factor)-binding proteins</w:t>
      </w:r>
      <w:r w:rsidR="0057194C" w:rsidRPr="0057194C">
        <w:rPr>
          <w:color w:val="212121"/>
          <w:shd w:val="clear" w:color="auto" w:fill="FFFFFF"/>
          <w:lang w:val="hr-HR"/>
        </w:rPr>
        <w:t xml:space="preserve">) </w:t>
      </w:r>
      <w:r w:rsidR="00CE4A80" w:rsidRPr="0057194C">
        <w:rPr>
          <w:color w:val="212121"/>
          <w:shd w:val="clear" w:color="auto" w:fill="FFFFFF"/>
          <w:lang w:val="hr-HR"/>
        </w:rPr>
        <w:t>vežu ACDL sekvencu membranskih proteina te ih transportiraju u obložene vezikule Golgijeve membrane</w:t>
      </w:r>
      <w:r w:rsidR="0041563A">
        <w:rPr>
          <w:color w:val="212121"/>
          <w:shd w:val="clear" w:color="auto" w:fill="FFFFFF"/>
          <w:vertAlign w:val="superscript"/>
          <w:lang w:val="hr-HR"/>
        </w:rPr>
        <w:t>4</w:t>
      </w:r>
      <w:r w:rsidR="00CE4A80" w:rsidRPr="0057194C">
        <w:rPr>
          <w:color w:val="212121"/>
          <w:shd w:val="clear" w:color="auto" w:fill="FFFFFF"/>
          <w:lang w:val="hr-HR"/>
        </w:rPr>
        <w:t>.</w:t>
      </w:r>
      <w:r w:rsidR="0083728A">
        <w:rPr>
          <w:color w:val="212121"/>
          <w:shd w:val="clear" w:color="auto" w:fill="FFFFFF"/>
          <w:lang w:val="hr-HR"/>
        </w:rPr>
        <w:t xml:space="preserve"> </w:t>
      </w:r>
      <w:r w:rsidR="00681B8C">
        <w:rPr>
          <w:color w:val="212121"/>
          <w:shd w:val="clear" w:color="auto" w:fill="FFFFFF"/>
          <w:lang w:val="hr-HR"/>
        </w:rPr>
        <w:t>Protein GGA3 veže se na ubikvitiniranu β-sekretazu putem GAT domene te ju usmjerava u lizosom gdje se razgrađuje</w:t>
      </w:r>
      <w:r w:rsidR="0041563A">
        <w:rPr>
          <w:color w:val="212121"/>
          <w:shd w:val="clear" w:color="auto" w:fill="FFFFFF"/>
          <w:vertAlign w:val="superscript"/>
          <w:lang w:val="hr-HR"/>
        </w:rPr>
        <w:t>23</w:t>
      </w:r>
      <w:r w:rsidR="00681B8C">
        <w:rPr>
          <w:color w:val="212121"/>
          <w:shd w:val="clear" w:color="auto" w:fill="FFFFFF"/>
          <w:lang w:val="hr-HR"/>
        </w:rPr>
        <w:t>. Nedostatak proteina GGA3 ili mutacije u njegovoj GAT domeni rezultiraju povišenom razinom β-sekretaze u ranim endosomima</w:t>
      </w:r>
      <w:r w:rsidR="00881E52">
        <w:rPr>
          <w:color w:val="212121"/>
          <w:shd w:val="clear" w:color="auto" w:fill="FFFFFF"/>
          <w:lang w:val="hr-HR"/>
        </w:rPr>
        <w:t>.</w:t>
      </w:r>
      <w:r w:rsidR="005B2F1F">
        <w:rPr>
          <w:color w:val="212121"/>
          <w:shd w:val="clear" w:color="auto" w:fill="FFFFFF"/>
          <w:lang w:val="hr-HR"/>
        </w:rPr>
        <w:t xml:space="preserve"> Budući da je riječ o kiselom staničnom organelu, akumulacija β-sekretaze u ranim endosomima rezultira njenom povećanom aktivnošću. Također, u </w:t>
      </w:r>
      <w:r w:rsidR="00881E52">
        <w:rPr>
          <w:color w:val="212121"/>
          <w:shd w:val="clear" w:color="auto" w:fill="FFFFFF"/>
          <w:lang w:val="hr-HR"/>
        </w:rPr>
        <w:t xml:space="preserve">uzorcima sljepoočnog režnja oboljelih od Alzheimerove bolesti uočena je značajno </w:t>
      </w:r>
      <w:r w:rsidR="005B2F1F">
        <w:rPr>
          <w:color w:val="212121"/>
          <w:shd w:val="clear" w:color="auto" w:fill="FFFFFF"/>
          <w:lang w:val="hr-HR"/>
        </w:rPr>
        <w:t xml:space="preserve">niska razina proteina GGA3 u usporedbi </w:t>
      </w:r>
      <w:r w:rsidR="005B2F1F">
        <w:rPr>
          <w:color w:val="212121"/>
          <w:shd w:val="clear" w:color="auto" w:fill="FFFFFF"/>
          <w:lang w:val="hr-HR"/>
        </w:rPr>
        <w:lastRenderedPageBreak/>
        <w:t>sa zdravim mozgom, dok je razina β-sekretaze povišena</w:t>
      </w:r>
      <w:r w:rsidR="00875606">
        <w:rPr>
          <w:color w:val="212121"/>
          <w:shd w:val="clear" w:color="auto" w:fill="FFFFFF"/>
          <w:lang w:val="hr-HR"/>
        </w:rPr>
        <w:t>. Iz navedenog je moguće zaključiti da su proteini GGA3 važni regulatori razine β-sekretaze u stanicama te nedostatak istih može rezultirati prekomjernom aktivnošću β-sekretaze i posljedično razvojem Alzheimerove bolesti</w:t>
      </w:r>
      <w:r w:rsidR="0041563A">
        <w:rPr>
          <w:color w:val="212121"/>
          <w:shd w:val="clear" w:color="auto" w:fill="FFFFFF"/>
          <w:vertAlign w:val="superscript"/>
          <w:lang w:val="hr-HR"/>
        </w:rPr>
        <w:t>23</w:t>
      </w:r>
      <w:r w:rsidR="00875606">
        <w:rPr>
          <w:color w:val="212121"/>
          <w:shd w:val="clear" w:color="auto" w:fill="FFFFFF"/>
          <w:lang w:val="hr-HR"/>
        </w:rPr>
        <w:t>.</w:t>
      </w:r>
      <w:r w:rsidR="005B2F1F">
        <w:rPr>
          <w:color w:val="212121"/>
          <w:shd w:val="clear" w:color="auto" w:fill="FFFFFF"/>
          <w:lang w:val="hr-HR"/>
        </w:rPr>
        <w:t xml:space="preserve">  </w:t>
      </w:r>
      <w:r w:rsidR="00CE4A80" w:rsidRPr="00AF12A9">
        <w:rPr>
          <w:color w:val="212121"/>
          <w:shd w:val="clear" w:color="auto" w:fill="FFFFFF"/>
          <w:lang w:val="hr-HR"/>
        </w:rPr>
        <w:t xml:space="preserve">Nikastrin i presenilini (PS1 i PS2) dio su proteinskog kompleksa </w:t>
      </w:r>
      <w:r w:rsidR="00AF12A9" w:rsidRPr="00AF12A9">
        <w:rPr>
          <w:color w:val="212121"/>
          <w:shd w:val="clear" w:color="auto" w:fill="FFFFFF"/>
          <w:lang w:val="hr-HR"/>
        </w:rPr>
        <w:t>γ-</w:t>
      </w:r>
      <w:r w:rsidR="00CE4A80" w:rsidRPr="00AF12A9">
        <w:rPr>
          <w:color w:val="212121"/>
          <w:shd w:val="clear" w:color="auto" w:fill="FFFFFF"/>
          <w:lang w:val="hr-HR"/>
        </w:rPr>
        <w:t>sekretaze. Nikastrin interagira s β-sekretazom te potiče njenu aktivnost što se manifestira povišenjem razine sAPPβ peptida. PS1  se veže na proβ-sekretazu što sugerira da ima potencijalnu ulogu u regulaciji njenog sazrijevanja.</w:t>
      </w:r>
      <w:r w:rsidR="0041563A">
        <w:rPr>
          <w:color w:val="212121"/>
          <w:shd w:val="clear" w:color="auto" w:fill="FFFFFF"/>
          <w:vertAlign w:val="superscript"/>
          <w:lang w:val="hr-HR"/>
        </w:rPr>
        <w:t>4</w:t>
      </w:r>
    </w:p>
    <w:p w14:paraId="37DB9085" w14:textId="77777777" w:rsidR="00424536" w:rsidRPr="00C77D6A" w:rsidRDefault="00D51B92" w:rsidP="00CA3BF9">
      <w:pPr>
        <w:pStyle w:val="OCJENSKIRADOVI2Podnaslovpoglavlja"/>
      </w:pPr>
      <w:bookmarkStart w:id="13" w:name="_Toc101271716"/>
      <w:bookmarkStart w:id="14" w:name="_Hlk91500792"/>
      <w:r w:rsidRPr="00C77D6A">
        <w:t>A</w:t>
      </w:r>
      <w:r w:rsidR="00093F75" w:rsidRPr="00C77D6A">
        <w:t>ktivno mjest</w:t>
      </w:r>
      <w:r w:rsidRPr="00C77D6A">
        <w:t>o β-sekretaze</w:t>
      </w:r>
      <w:bookmarkEnd w:id="13"/>
    </w:p>
    <w:bookmarkEnd w:id="14"/>
    <w:p w14:paraId="7D44190D" w14:textId="77777777" w:rsidR="001767A4" w:rsidRPr="0041563A" w:rsidRDefault="00093F75" w:rsidP="00526F52">
      <w:pPr>
        <w:spacing w:line="360" w:lineRule="auto"/>
        <w:jc w:val="both"/>
        <w:rPr>
          <w:vertAlign w:val="superscript"/>
        </w:rPr>
      </w:pPr>
      <w:r>
        <w:t xml:space="preserve">Kristalna struktura aktivnog mjesta β-sekretaze riješena je 2000. godine korištenjem inhibitora OM99-2. OM99-2 je analog prijelaznog stanja kojeg čini 8 aminokiselinskih </w:t>
      </w:r>
      <w:r w:rsidR="004A535D">
        <w:t>ostataka</w:t>
      </w:r>
      <w:r>
        <w:t xml:space="preserve"> (slika</w:t>
      </w:r>
      <w:r w:rsidR="00402C1A">
        <w:t xml:space="preserve"> </w:t>
      </w:r>
      <w:r w:rsidR="005464BF">
        <w:t>2</w:t>
      </w:r>
      <w:r>
        <w:t>).</w:t>
      </w:r>
      <w:r w:rsidR="0041563A">
        <w:rPr>
          <w:vertAlign w:val="superscript"/>
        </w:rPr>
        <w:t>24</w:t>
      </w:r>
      <w:r w:rsidR="0075340F">
        <w:t xml:space="preserve"> </w:t>
      </w:r>
      <w:r w:rsidR="001767A4">
        <w:t xml:space="preserve">Analozi prijelaznog stanja su stabilne molekule koje </w:t>
      </w:r>
      <w:r w:rsidR="001767A4">
        <w:rPr>
          <w:lang w:val="hr-HR"/>
        </w:rPr>
        <w:t xml:space="preserve">se u aktivno mjesto vežu snažnije nego supstrat u enzim-supstrat (ES) kompleksu. Razlog tome je što analozi prijelaznog stanja </w:t>
      </w:r>
      <w:r w:rsidR="009B1840">
        <w:rPr>
          <w:lang w:val="hr-HR"/>
        </w:rPr>
        <w:t xml:space="preserve">bolje </w:t>
      </w:r>
      <w:r w:rsidR="001767A4">
        <w:rPr>
          <w:lang w:val="hr-HR"/>
        </w:rPr>
        <w:t>pristaju u aktivno mjesto enzima jer imaju mogućnost ostvarivanja više povoljnih interakcija nego supstrat</w:t>
      </w:r>
      <w:r w:rsidR="00DE0416">
        <w:rPr>
          <w:lang w:val="hr-HR"/>
        </w:rPr>
        <w:t xml:space="preserve"> što naposlijetku omogućava snižavanje aktivacijske energije.</w:t>
      </w:r>
      <w:r w:rsidR="0041563A">
        <w:rPr>
          <w:vertAlign w:val="superscript"/>
          <w:lang w:val="hr-HR"/>
        </w:rPr>
        <w:t>5</w:t>
      </w:r>
    </w:p>
    <w:p w14:paraId="388206A7" w14:textId="77777777" w:rsidR="001767A4" w:rsidRDefault="00DE0416" w:rsidP="00526F52">
      <w:pPr>
        <w:spacing w:line="360" w:lineRule="auto"/>
        <w:jc w:val="both"/>
      </w:pPr>
      <w:r>
        <w:rPr>
          <w:noProof/>
        </w:rPr>
        <w:drawing>
          <wp:anchor distT="0" distB="0" distL="114300" distR="114300" simplePos="0" relativeHeight="251665920" behindDoc="0" locked="0" layoutInCell="1" allowOverlap="1" wp14:anchorId="6F15D41C" wp14:editId="33772943">
            <wp:simplePos x="0" y="0"/>
            <wp:positionH relativeFrom="margin">
              <wp:align>center</wp:align>
            </wp:positionH>
            <wp:positionV relativeFrom="paragraph">
              <wp:posOffset>212725</wp:posOffset>
            </wp:positionV>
            <wp:extent cx="5198745" cy="2371725"/>
            <wp:effectExtent l="0" t="0" r="190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3.PNG"/>
                    <pic:cNvPicPr/>
                  </pic:nvPicPr>
                  <pic:blipFill>
                    <a:blip r:embed="rId14">
                      <a:extLst>
                        <a:ext uri="{28A0092B-C50C-407E-A947-70E740481C1C}">
                          <a14:useLocalDpi xmlns:a14="http://schemas.microsoft.com/office/drawing/2010/main" val="0"/>
                        </a:ext>
                      </a:extLst>
                    </a:blip>
                    <a:stretch>
                      <a:fillRect/>
                    </a:stretch>
                  </pic:blipFill>
                  <pic:spPr>
                    <a:xfrm>
                      <a:off x="0" y="0"/>
                      <a:ext cx="5198745" cy="2371725"/>
                    </a:xfrm>
                    <a:prstGeom prst="rect">
                      <a:avLst/>
                    </a:prstGeom>
                  </pic:spPr>
                </pic:pic>
              </a:graphicData>
            </a:graphic>
            <wp14:sizeRelH relativeFrom="margin">
              <wp14:pctWidth>0</wp14:pctWidth>
            </wp14:sizeRelH>
            <wp14:sizeRelV relativeFrom="margin">
              <wp14:pctHeight>0</wp14:pctHeight>
            </wp14:sizeRelV>
          </wp:anchor>
        </w:drawing>
      </w:r>
    </w:p>
    <w:p w14:paraId="6F46031E" w14:textId="77777777" w:rsidR="00093F75" w:rsidRDefault="00093F75" w:rsidP="00093F75">
      <w:pPr>
        <w:spacing w:line="360" w:lineRule="auto"/>
        <w:ind w:left="360"/>
        <w:jc w:val="center"/>
      </w:pPr>
      <w:r>
        <w:t xml:space="preserve">Slika </w:t>
      </w:r>
      <w:r w:rsidR="005464BF">
        <w:t>2</w:t>
      </w:r>
      <w:r>
        <w:t xml:space="preserve">. Struktura inhibitora OM99-2. (preuzeto iz reference </w:t>
      </w:r>
      <w:r w:rsidR="00640349">
        <w:rPr>
          <w:b/>
        </w:rPr>
        <w:t>2</w:t>
      </w:r>
      <w:r w:rsidR="0075340F">
        <w:rPr>
          <w:b/>
        </w:rPr>
        <w:t>4</w:t>
      </w:r>
      <w:r>
        <w:t>)</w:t>
      </w:r>
    </w:p>
    <w:p w14:paraId="6BF2768E" w14:textId="77777777" w:rsidR="00093F75" w:rsidRPr="00FB72E0" w:rsidRDefault="00093F75" w:rsidP="00093F75">
      <w:pPr>
        <w:spacing w:line="360" w:lineRule="auto"/>
        <w:ind w:left="360"/>
        <w:jc w:val="center"/>
      </w:pPr>
    </w:p>
    <w:p w14:paraId="4FBB0BB6" w14:textId="36672839" w:rsidR="00093F75" w:rsidRPr="0041563A" w:rsidRDefault="00093F75" w:rsidP="00526F52">
      <w:pPr>
        <w:spacing w:line="360" w:lineRule="auto"/>
        <w:jc w:val="both"/>
        <w:rPr>
          <w:vertAlign w:val="superscript"/>
        </w:rPr>
      </w:pPr>
      <w:r>
        <w:t xml:space="preserve">Hidroksietilenski izoster prijelaznog stanja nalazi se između P1-leucina i P1'-alanina. P1, P2, P3 i P4 su </w:t>
      </w:r>
      <w:r w:rsidR="006C6F26">
        <w:t>aminokiseline</w:t>
      </w:r>
      <w:r>
        <w:t xml:space="preserve"> na N-terminalnom kraju od mjesta djelovanja sekretaza, a P1', P2', P3' i P4' na C-terminalnom kraju supstrata odnosno inhibitora. β-sekretaze imaju bilobalnu strukturu te se inhibitor veže u rascjep između N-terminalnog i C-terminalnog režnja (slika </w:t>
      </w:r>
      <w:r w:rsidR="005464BF">
        <w:t>3</w:t>
      </w:r>
      <w:r>
        <w:t>).</w:t>
      </w:r>
      <w:r w:rsidR="0041563A">
        <w:rPr>
          <w:vertAlign w:val="superscript"/>
        </w:rPr>
        <w:t>24</w:t>
      </w:r>
    </w:p>
    <w:p w14:paraId="55BD3522" w14:textId="77777777" w:rsidR="00093F75" w:rsidRDefault="00BA74B4" w:rsidP="00093F75">
      <w:pPr>
        <w:spacing w:line="360" w:lineRule="auto"/>
        <w:ind w:left="360"/>
        <w:jc w:val="center"/>
      </w:pPr>
      <w:r>
        <w:rPr>
          <w:noProof/>
        </w:rPr>
        <w:lastRenderedPageBreak/>
        <w:drawing>
          <wp:inline distT="0" distB="0" distL="0" distR="0" wp14:anchorId="7D76C92D" wp14:editId="5110BB62">
            <wp:extent cx="2981325" cy="3730914"/>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CE1-OM99-2 kompleks.PNG"/>
                    <pic:cNvPicPr/>
                  </pic:nvPicPr>
                  <pic:blipFill>
                    <a:blip r:embed="rId15"/>
                    <a:stretch>
                      <a:fillRect/>
                    </a:stretch>
                  </pic:blipFill>
                  <pic:spPr>
                    <a:xfrm>
                      <a:off x="0" y="0"/>
                      <a:ext cx="3001543" cy="3756216"/>
                    </a:xfrm>
                    <a:prstGeom prst="rect">
                      <a:avLst/>
                    </a:prstGeom>
                  </pic:spPr>
                </pic:pic>
              </a:graphicData>
            </a:graphic>
          </wp:inline>
        </w:drawing>
      </w:r>
    </w:p>
    <w:p w14:paraId="56AC4865" w14:textId="525DD0D9" w:rsidR="00E27686" w:rsidRDefault="00093F75" w:rsidP="0016300E">
      <w:pPr>
        <w:spacing w:line="360" w:lineRule="auto"/>
        <w:ind w:left="360"/>
        <w:jc w:val="center"/>
      </w:pPr>
      <w:r>
        <w:t xml:space="preserve">Slika </w:t>
      </w:r>
      <w:r w:rsidR="005464BF">
        <w:t>3</w:t>
      </w:r>
      <w:r>
        <w:t xml:space="preserve">. Kristalna struktura β-sekretaze u kompleksu s inhibitorom OM99-2. N-terminalni režanj je prikazan </w:t>
      </w:r>
      <w:r w:rsidR="008834D1">
        <w:t>plavo</w:t>
      </w:r>
      <w:r>
        <w:t xml:space="preserve">, dok je C-terminalni režanj </w:t>
      </w:r>
      <w:r w:rsidR="008834D1">
        <w:t>žuto</w:t>
      </w:r>
      <w:r>
        <w:t xml:space="preserve"> obojen. Insercijske petlje u C-terminalnom režnju (označene A</w:t>
      </w:r>
      <w:r w:rsidR="008834D1">
        <w:t>-G</w:t>
      </w:r>
      <w:r>
        <w:t xml:space="preserve">) prikazane su ružičasto, a COOH-terminalna ekstenzija zeleno. Inhibitor je prikazan crvenom bojom (preuzeto iz reference </w:t>
      </w:r>
      <w:r w:rsidR="00BA74B4">
        <w:rPr>
          <w:b/>
        </w:rPr>
        <w:t>2</w:t>
      </w:r>
      <w:r w:rsidR="00E1785E">
        <w:rPr>
          <w:b/>
        </w:rPr>
        <w:t>4</w:t>
      </w:r>
      <w:r>
        <w:t>).</w:t>
      </w:r>
    </w:p>
    <w:p w14:paraId="2A622BE0" w14:textId="77777777" w:rsidR="003E29CE" w:rsidRDefault="003E29CE" w:rsidP="0016300E">
      <w:pPr>
        <w:spacing w:line="360" w:lineRule="auto"/>
        <w:ind w:left="360"/>
        <w:jc w:val="center"/>
      </w:pPr>
    </w:p>
    <w:p w14:paraId="1339FA68" w14:textId="77777777" w:rsidR="00004206" w:rsidRDefault="00093F75" w:rsidP="00526F52">
      <w:pPr>
        <w:spacing w:line="360" w:lineRule="auto"/>
        <w:jc w:val="both"/>
        <w:rPr>
          <w:vertAlign w:val="superscript"/>
        </w:rPr>
      </w:pPr>
      <w:r>
        <w:t>Katalitički aspartati Asp32 i Asp228 nalaze se u središtu rascjepa u blizini</w:t>
      </w:r>
      <w:r w:rsidR="00A02FCD">
        <w:t xml:space="preserve"> hidroksietilenskog</w:t>
      </w:r>
      <w:r>
        <w:t xml:space="preserve"> izostera prijelaznog stanja između pozicija P1 i P1'</w:t>
      </w:r>
      <w:r w:rsidR="005F28E6">
        <w:t xml:space="preserve"> te </w:t>
      </w:r>
      <w:r w:rsidR="00226559">
        <w:t>preko kisikovih atoma</w:t>
      </w:r>
      <w:r w:rsidR="00BD6ADE">
        <w:t xml:space="preserve"> karboksilne skupine</w:t>
      </w:r>
      <w:r w:rsidR="00226559">
        <w:t xml:space="preserve"> ostvaruju vodikove veze s hidroksilnom skupinom izostera prijelaznog stanja (slika 4)</w:t>
      </w:r>
      <w:r>
        <w:t>.</w:t>
      </w:r>
      <w:r w:rsidR="0041563A">
        <w:rPr>
          <w:vertAlign w:val="superscript"/>
        </w:rPr>
        <w:t>24</w:t>
      </w:r>
      <w:r>
        <w:t xml:space="preserve"> U usporedbi s drugom aspartičnom proteazom, pepsinom, najznačajnija strukturna razlika kod β-sekretaza su insercijske petlje i COOH-terminalna ekstenzija u C-terminalnom režnju. Insercije A, C, D i F nalaze se na molekulskoj površini blizu N-kraja inhibitora te zajedno značajno povećavaju površinu β-sekretaza u odnosu na pepsin. Insercije B i E nalaze se na molekulskoj površini blizu C-kraja inhibitora. Rascjep, odnosno aktivno mjesto β-sekretaza je otvorenije i dostupnije</w:t>
      </w:r>
      <w:r w:rsidR="00402C1A">
        <w:t xml:space="preserve"> </w:t>
      </w:r>
      <w:r>
        <w:t>od</w:t>
      </w:r>
      <w:r w:rsidR="00402C1A">
        <w:t xml:space="preserve"> </w:t>
      </w:r>
      <w:r>
        <w:t>aktivnog mjesta pepsina</w:t>
      </w:r>
      <w:r w:rsidR="00F3033E">
        <w:t xml:space="preserve"> (slika 5)</w:t>
      </w:r>
      <w:r>
        <w:t>.</w:t>
      </w:r>
      <w:r w:rsidR="0041563A">
        <w:rPr>
          <w:vertAlign w:val="superscript"/>
        </w:rPr>
        <w:t>24</w:t>
      </w:r>
      <w:r>
        <w:t xml:space="preserve"> </w:t>
      </w:r>
      <w:r w:rsidRPr="00FC6E94">
        <w:t>S2 i S4 proteazne podjedinice enzima su hidrofilnog karaktera, što nije slučaj kod istovjetnih podjedinica drugih humanih aspartičnih proteaza poput pepsina, što je jedna od karakteristika koje bi mogle pomoći u dizajnu selektivnih inhibitora β-sekretaza. Podjedinice S1 i S3 su hidrofobne i značajno različitije konformacije od istovjetnih podjedinica u pepsinu. Pet N-terminalnih rezidua OM99-</w:t>
      </w:r>
      <w:r w:rsidRPr="00FC6E94">
        <w:lastRenderedPageBreak/>
        <w:t>2 inhibitora (P4-P1') nalazi se u ispružnoj konformaciji, dok na poziciji P2' dolazi do zavijanja strukture prema površini enzima te P3'-Glu i P4'-Phe ostvaruju minimalne interakcije s proteaznim dijelom inhibitora. Takva konformacija okosnice proteina potencijalno omogućuje dugačkim supstratima da izađu iz aktivnog mjesta. Hong i suradnici iz navedenoga su zaključili da dobro definirana struktura proteina od mjesta P4 do P2' predstavlja dobar kalup za sintezu inhibitora β-sekretaza, dok zavijenje konformacije u području od rezidua P2' do P4' upućuje na mogućnost poboljšanja selektivnosti inhibitora</w:t>
      </w:r>
      <w:r w:rsidR="0041563A">
        <w:t>.</w:t>
      </w:r>
      <w:r w:rsidR="0041563A">
        <w:rPr>
          <w:vertAlign w:val="superscript"/>
        </w:rPr>
        <w:t>24</w:t>
      </w:r>
      <w:r>
        <w:rPr>
          <w:vertAlign w:val="superscript"/>
        </w:rPr>
        <w:t xml:space="preserve">  </w:t>
      </w:r>
    </w:p>
    <w:p w14:paraId="32482CF1" w14:textId="77777777" w:rsidR="002E1C59" w:rsidRDefault="002E1C59" w:rsidP="00526F52">
      <w:pPr>
        <w:spacing w:line="360" w:lineRule="auto"/>
        <w:jc w:val="both"/>
        <w:rPr>
          <w:vertAlign w:val="superscript"/>
        </w:rPr>
      </w:pPr>
    </w:p>
    <w:p w14:paraId="15F0E621" w14:textId="77777777" w:rsidR="00093F75" w:rsidRDefault="00004206" w:rsidP="00004206">
      <w:pPr>
        <w:spacing w:line="360" w:lineRule="auto"/>
        <w:jc w:val="center"/>
        <w:rPr>
          <w:vertAlign w:val="superscript"/>
        </w:rPr>
      </w:pPr>
      <w:r>
        <w:rPr>
          <w:noProof/>
          <w:vertAlign w:val="superscript"/>
        </w:rPr>
        <w:drawing>
          <wp:inline distT="0" distB="0" distL="0" distR="0" wp14:anchorId="09F17825" wp14:editId="0F9AD93E">
            <wp:extent cx="5560822" cy="38100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FKN-aktivno mjesto-interakcije.png"/>
                    <pic:cNvPicPr/>
                  </pic:nvPicPr>
                  <pic:blipFill>
                    <a:blip r:embed="rId16"/>
                    <a:stretch>
                      <a:fillRect/>
                    </a:stretch>
                  </pic:blipFill>
                  <pic:spPr>
                    <a:xfrm>
                      <a:off x="0" y="0"/>
                      <a:ext cx="5588571" cy="3829012"/>
                    </a:xfrm>
                    <a:prstGeom prst="rect">
                      <a:avLst/>
                    </a:prstGeom>
                  </pic:spPr>
                </pic:pic>
              </a:graphicData>
            </a:graphic>
          </wp:inline>
        </w:drawing>
      </w:r>
    </w:p>
    <w:p w14:paraId="55B94BE4" w14:textId="77777777" w:rsidR="00004206" w:rsidRDefault="00004206" w:rsidP="00004206">
      <w:pPr>
        <w:spacing w:line="360" w:lineRule="auto"/>
        <w:jc w:val="center"/>
      </w:pPr>
      <w:r>
        <w:t xml:space="preserve">Slika 4. </w:t>
      </w:r>
      <w:r w:rsidR="007E3E38">
        <w:t xml:space="preserve">Mreža vodikovih veza ostvarena u aktivnom mjestu β-sekretaze u kompleksu s inhibitorom OM99-2. (izvor: </w:t>
      </w:r>
      <w:hyperlink r:id="rId17" w:history="1">
        <w:r w:rsidR="007E3E38" w:rsidRPr="00B97983">
          <w:rPr>
            <w:rStyle w:val="Hyperlink"/>
            <w:sz w:val="24"/>
            <w:szCs w:val="24"/>
          </w:rPr>
          <w:t>www.rcsb.org</w:t>
        </w:r>
      </w:hyperlink>
      <w:r w:rsidR="007E3E38">
        <w:t>, pdb unos: 1FKN)</w:t>
      </w:r>
    </w:p>
    <w:p w14:paraId="40A143BE" w14:textId="77777777" w:rsidR="002E1C59" w:rsidRDefault="002E1C59" w:rsidP="00004206">
      <w:pPr>
        <w:spacing w:line="360" w:lineRule="auto"/>
        <w:jc w:val="center"/>
      </w:pPr>
    </w:p>
    <w:p w14:paraId="05B0A8AB" w14:textId="77777777" w:rsidR="002E1C59" w:rsidRDefault="002E1C59" w:rsidP="00004206">
      <w:pPr>
        <w:spacing w:line="360" w:lineRule="auto"/>
        <w:jc w:val="center"/>
      </w:pPr>
    </w:p>
    <w:p w14:paraId="65435706" w14:textId="77777777" w:rsidR="002E1C59" w:rsidRDefault="002E1C59" w:rsidP="00004206">
      <w:pPr>
        <w:spacing w:line="360" w:lineRule="auto"/>
        <w:jc w:val="center"/>
      </w:pPr>
      <w:r>
        <w:rPr>
          <w:noProof/>
        </w:rPr>
        <w:lastRenderedPageBreak/>
        <w:drawing>
          <wp:inline distT="0" distB="0" distL="0" distR="0" wp14:anchorId="428CE309" wp14:editId="31EE9CFF">
            <wp:extent cx="5760085" cy="39192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CE1 i pepsin.png"/>
                    <pic:cNvPicPr/>
                  </pic:nvPicPr>
                  <pic:blipFill>
                    <a:blip r:embed="rId18"/>
                    <a:stretch>
                      <a:fillRect/>
                    </a:stretch>
                  </pic:blipFill>
                  <pic:spPr>
                    <a:xfrm>
                      <a:off x="0" y="0"/>
                      <a:ext cx="5760085" cy="3919220"/>
                    </a:xfrm>
                    <a:prstGeom prst="rect">
                      <a:avLst/>
                    </a:prstGeom>
                  </pic:spPr>
                </pic:pic>
              </a:graphicData>
            </a:graphic>
          </wp:inline>
        </w:drawing>
      </w:r>
    </w:p>
    <w:p w14:paraId="636E7624" w14:textId="77777777" w:rsidR="002E1C59" w:rsidRDefault="002E1C59" w:rsidP="00004206">
      <w:pPr>
        <w:spacing w:line="360" w:lineRule="auto"/>
        <w:jc w:val="center"/>
      </w:pPr>
      <w:r>
        <w:t xml:space="preserve">Slika 5. Usporedba struktura β-sekretaze (lijevo; pdb unos: 1FKN) i pepsina (desno; pdb unos: 1PSO). Oba prikazana enzima su humana i nalaze se u kompleksu s inhibitorima; β-sekretaza – inhibitor OM99-2; pepsin – inhibitor pepstatin. (izvor: </w:t>
      </w:r>
      <w:hyperlink r:id="rId19" w:history="1">
        <w:r w:rsidRPr="00B97983">
          <w:rPr>
            <w:rStyle w:val="Hyperlink"/>
            <w:sz w:val="24"/>
            <w:szCs w:val="24"/>
          </w:rPr>
          <w:t>www.rcsb.org</w:t>
        </w:r>
      </w:hyperlink>
      <w:r>
        <w:t>)</w:t>
      </w:r>
    </w:p>
    <w:p w14:paraId="1FB731AD" w14:textId="77777777" w:rsidR="002E1C59" w:rsidRPr="002E1C59" w:rsidRDefault="002E1C59" w:rsidP="00004206">
      <w:pPr>
        <w:spacing w:line="360" w:lineRule="auto"/>
        <w:jc w:val="center"/>
        <w:rPr>
          <w:lang w:val="hr-HR"/>
        </w:rPr>
      </w:pPr>
    </w:p>
    <w:p w14:paraId="51F97138" w14:textId="77777777" w:rsidR="00093F75" w:rsidRPr="0041563A" w:rsidRDefault="000510EE" w:rsidP="002E1C59">
      <w:pPr>
        <w:spacing w:line="360" w:lineRule="auto"/>
        <w:jc w:val="both"/>
        <w:rPr>
          <w:vertAlign w:val="superscript"/>
        </w:rPr>
      </w:pPr>
      <w:r>
        <w:t>U svrhu proučavanja aktivnog mjesta β-sekretaze u</w:t>
      </w:r>
      <w:r w:rsidR="00093F75" w:rsidRPr="00BD6ADE">
        <w:t xml:space="preserve">brzo je sintetiziran novi inhibitor OM00-3 (Glu-Leu-Asp-Leu*Ala-Val-Glu-Phe) koji također sadrži hidroksietilenski izoster prijelaznog stanja (naglašen asteriskom) te pokazuje nižu vrijednost </w:t>
      </w:r>
      <w:r w:rsidR="00093F75" w:rsidRPr="00BD6ADE">
        <w:rPr>
          <w:i/>
        </w:rPr>
        <w:t>K</w:t>
      </w:r>
      <w:r w:rsidR="00093F75" w:rsidRPr="00BD6ADE">
        <w:rPr>
          <w:vertAlign w:val="subscript"/>
        </w:rPr>
        <w:t>i</w:t>
      </w:r>
      <w:r w:rsidR="00093F75" w:rsidRPr="00BD6ADE">
        <w:t xml:space="preserve"> za β-sekretaze</w:t>
      </w:r>
      <w:r w:rsidR="00CA3A01" w:rsidRPr="00BD6ADE">
        <w:t xml:space="preserve"> od OM99-2</w:t>
      </w:r>
      <w:r w:rsidR="00093F75" w:rsidRPr="00BD6ADE">
        <w:t>.</w:t>
      </w:r>
      <w:r w:rsidR="0041563A">
        <w:rPr>
          <w:vertAlign w:val="superscript"/>
        </w:rPr>
        <w:t>25</w:t>
      </w:r>
      <w:r w:rsidR="00093F75" w:rsidRPr="00BD6ADE">
        <w:t xml:space="preserve"> </w:t>
      </w:r>
      <w:r w:rsidR="00093F75" w:rsidRPr="00A86889">
        <w:t>Interakcije Leu*Ala izosterne regije s enzimom, kao i konformacija okosnice inhibitora (P3-P2') su jednake onima kod OM99-2/enzim kompleksa, no razlikuju se u interakcijama bočnih ogranaka sa S2, S3 i S4 podjedinicama enzima</w:t>
      </w:r>
      <w:r w:rsidR="00093F75" w:rsidRPr="009167AC">
        <w:t>. Kod OM99-2 inhibitora bočni ogranak P2 -Asn ostvaruje vodikove veze s bočnim ogrankom P4-Glu što umanjuje interakcije između Glu i enzima. Kod OM00</w:t>
      </w:r>
      <w:r w:rsidR="008A7E1B">
        <w:t>-</w:t>
      </w:r>
      <w:r w:rsidR="00093F75" w:rsidRPr="009167AC">
        <w:t>3, gdje je na poziciji P2 Asp, izostaju interakcije između P2 i P4, no ostvaruju se višestruke povoljne interakcije P4-Glu sa S4 podjedinicom enzima što sugerira da ta podjedinica značajno pridonosi vezanju inhibitora</w:t>
      </w:r>
      <w:r w:rsidR="00EF4E99">
        <w:t xml:space="preserve"> (prikazano na slici 6)</w:t>
      </w:r>
      <w:r w:rsidR="00093F75" w:rsidRPr="009167AC">
        <w:t xml:space="preserve">. </w:t>
      </w:r>
      <w:r w:rsidR="00093F75" w:rsidRPr="00A60D78">
        <w:t>S2 podjedinica je fleksibilnija te ostvaruje interakcije i sa Asp i sa Asn na poziciji P2 inhibitora. Leucin iz S3 podjedinice</w:t>
      </w:r>
      <w:r w:rsidR="00433E37">
        <w:t xml:space="preserve"> enzima</w:t>
      </w:r>
      <w:r w:rsidR="00093F75" w:rsidRPr="00A60D78">
        <w:t xml:space="preserve"> ostvaruje povoljne interakcije s leucinima na poziciji P3 i P1 inhibitora, što nije slučaj kod OM99-2 gdje je na poziciji P3 valin</w:t>
      </w:r>
      <w:r w:rsidR="00433E37">
        <w:t xml:space="preserve"> (slika 6)</w:t>
      </w:r>
      <w:r w:rsidR="00093F75" w:rsidRPr="00A60D78">
        <w:t xml:space="preserve">. P3' i P4' pozicije su identične kod </w:t>
      </w:r>
      <w:r w:rsidR="00093F75" w:rsidRPr="00A60D78">
        <w:lastRenderedPageBreak/>
        <w:t xml:space="preserve">oba inhibitora (Glu i Phe), no kod OM00-3 elektronska gustoća ovih </w:t>
      </w:r>
      <w:r w:rsidR="00A60D78" w:rsidRPr="00A60D78">
        <w:t>aminokiselinskih ostataka</w:t>
      </w:r>
      <w:r w:rsidR="00093F75" w:rsidRPr="00A60D78">
        <w:t xml:space="preserve"> dobro je definirana te je njihova okosnica u ispruženoj konformaciji. Ispitana je mogućnost da na ovu značajnu promjenu utječe aminokiselina na poziciji P2' (kod OM99-2 to je Ala, a kod OM00-3 je Val). Mjerenjem kinetičkih parametara, </w:t>
      </w:r>
      <w:r w:rsidR="00093F75" w:rsidRPr="00A60D78">
        <w:rPr>
          <w:i/>
        </w:rPr>
        <w:t>K</w:t>
      </w:r>
      <w:r w:rsidR="00093F75" w:rsidRPr="00A60D78">
        <w:rPr>
          <w:vertAlign w:val="subscript"/>
        </w:rPr>
        <w:t>m</w:t>
      </w:r>
      <w:r w:rsidR="00093F75" w:rsidRPr="00A60D78">
        <w:t xml:space="preserve"> i </w:t>
      </w:r>
      <w:r w:rsidR="00093F75" w:rsidRPr="00A60D78">
        <w:rPr>
          <w:i/>
        </w:rPr>
        <w:t>k</w:t>
      </w:r>
      <w:r w:rsidR="00093F75" w:rsidRPr="00A60D78">
        <w:rPr>
          <w:vertAlign w:val="subscript"/>
        </w:rPr>
        <w:t>cat</w:t>
      </w:r>
      <w:r w:rsidR="00093F75" w:rsidRPr="00A60D78">
        <w:t>,</w:t>
      </w:r>
      <w:r w:rsidR="00093F75" w:rsidRPr="00A60D78">
        <w:rPr>
          <w:vertAlign w:val="subscript"/>
        </w:rPr>
        <w:t xml:space="preserve"> </w:t>
      </w:r>
      <w:r w:rsidR="00093F75" w:rsidRPr="00A60D78">
        <w:t xml:space="preserve">za supstrate koji se razlikuju samo po reziduu na poziciji P2' (Val/Ala) ustanovljeno je da u slučaju valina dolazi do značajnog povećanja vrijednosti </w:t>
      </w:r>
      <w:r w:rsidR="00093F75" w:rsidRPr="00A60D78">
        <w:rPr>
          <w:i/>
        </w:rPr>
        <w:t>k</w:t>
      </w:r>
      <w:r w:rsidR="00093F75" w:rsidRPr="00A60D78">
        <w:rPr>
          <w:vertAlign w:val="subscript"/>
        </w:rPr>
        <w:t xml:space="preserve">cat, </w:t>
      </w:r>
      <w:r w:rsidR="00093F75" w:rsidRPr="00A60D78">
        <w:t xml:space="preserve">dok povećanje vrijednosti </w:t>
      </w:r>
      <w:r w:rsidR="00093F75" w:rsidRPr="00A60D78">
        <w:rPr>
          <w:i/>
        </w:rPr>
        <w:t>K</w:t>
      </w:r>
      <w:r w:rsidR="00093F75" w:rsidRPr="00A60D78">
        <w:rPr>
          <w:vertAlign w:val="subscript"/>
        </w:rPr>
        <w:t xml:space="preserve">m </w:t>
      </w:r>
      <w:r w:rsidR="00093F75" w:rsidRPr="00A60D78">
        <w:t>nije toliko značajno, što sugerira da</w:t>
      </w:r>
      <w:r w:rsidR="00093F75" w:rsidRPr="00A60D78">
        <w:rPr>
          <w:vertAlign w:val="subscript"/>
        </w:rPr>
        <w:t xml:space="preserve"> </w:t>
      </w:r>
      <w:r w:rsidR="00093F75" w:rsidRPr="00A60D78">
        <w:t>valin na poziciji P2' poboljšava vezanje P3'-Glu i P4'-Phe bočnih ogranaka u prijelaznom stanju, ali ne mijenja njihovu specifičnost.</w:t>
      </w:r>
      <w:r w:rsidR="0041563A">
        <w:rPr>
          <w:vertAlign w:val="superscript"/>
        </w:rPr>
        <w:t>25</w:t>
      </w:r>
    </w:p>
    <w:p w14:paraId="69795419" w14:textId="77777777" w:rsidR="00433E37" w:rsidRDefault="00433E37" w:rsidP="00433E37">
      <w:pPr>
        <w:spacing w:line="360" w:lineRule="auto"/>
        <w:jc w:val="center"/>
      </w:pPr>
      <w:r>
        <w:rPr>
          <w:noProof/>
        </w:rPr>
        <w:drawing>
          <wp:inline distT="0" distB="0" distL="0" distR="0" wp14:anchorId="2A09BC7A" wp14:editId="529065FE">
            <wp:extent cx="5583256" cy="36290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CE1-OM992-OM003-usporedba.png"/>
                    <pic:cNvPicPr/>
                  </pic:nvPicPr>
                  <pic:blipFill>
                    <a:blip r:embed="rId20"/>
                    <a:stretch>
                      <a:fillRect/>
                    </a:stretch>
                  </pic:blipFill>
                  <pic:spPr>
                    <a:xfrm>
                      <a:off x="0" y="0"/>
                      <a:ext cx="5616045" cy="3650337"/>
                    </a:xfrm>
                    <a:prstGeom prst="rect">
                      <a:avLst/>
                    </a:prstGeom>
                  </pic:spPr>
                </pic:pic>
              </a:graphicData>
            </a:graphic>
          </wp:inline>
        </w:drawing>
      </w:r>
    </w:p>
    <w:p w14:paraId="6E9C2C5B" w14:textId="77777777" w:rsidR="00433E37" w:rsidRDefault="00433E37" w:rsidP="00C237E9">
      <w:pPr>
        <w:spacing w:line="360" w:lineRule="auto"/>
        <w:jc w:val="center"/>
        <w:rPr>
          <w:lang w:val="hr-HR"/>
        </w:rPr>
      </w:pPr>
      <w:r>
        <w:t>Slika 6. Usporedba interakcija koje s aktivnim mjestom β-sekretaze ostvaruju inhibitori OM99-2 i OM00-3. Narančasto je prikazan inhibitor OM00-3, tamnoplavo inhibitor OM</w:t>
      </w:r>
      <w:r w:rsidR="00C237E9">
        <w:t xml:space="preserve">99-2, dok je svijetloplavo prikazano aktivno mjesto β-sekretaze. Lijevo su prikazane nekovalentne interakcije (crvene isprekidane linije) koje ostvaruju aminokiseline na pozicijama P2 i P4 inhibitora, te su vidljive i vodikove veze koje se ostvaruju između P2 i P4 kod inhibitora OM99-2. Desno su prikazane nekovalentne interakcije (zelene isprekidane linije) </w:t>
      </w:r>
      <w:r w:rsidR="00C237E9">
        <w:rPr>
          <w:lang w:val="hr-HR"/>
        </w:rPr>
        <w:t xml:space="preserve">koje ostvaruju aminokiseline na pozicijama P1 i P3 inhibitora. (preuzeto i prilagođeno iz reference </w:t>
      </w:r>
      <w:r w:rsidR="00C237E9" w:rsidRPr="00C237E9">
        <w:rPr>
          <w:b/>
          <w:lang w:val="hr-HR"/>
        </w:rPr>
        <w:t>25</w:t>
      </w:r>
      <w:r w:rsidR="00C237E9">
        <w:rPr>
          <w:lang w:val="hr-HR"/>
        </w:rPr>
        <w:t>).</w:t>
      </w:r>
    </w:p>
    <w:p w14:paraId="785E80C3" w14:textId="77777777" w:rsidR="00C237E9" w:rsidRDefault="00C237E9" w:rsidP="00433E37">
      <w:pPr>
        <w:spacing w:line="360" w:lineRule="auto"/>
        <w:jc w:val="center"/>
      </w:pPr>
    </w:p>
    <w:p w14:paraId="5C7EB3A5" w14:textId="77777777" w:rsidR="00C237E9" w:rsidRPr="00A60D78" w:rsidRDefault="00C237E9" w:rsidP="00433E37">
      <w:pPr>
        <w:spacing w:line="360" w:lineRule="auto"/>
        <w:jc w:val="center"/>
      </w:pPr>
    </w:p>
    <w:p w14:paraId="03BEB60F" w14:textId="77777777" w:rsidR="00093F75" w:rsidRPr="0041563A" w:rsidRDefault="00093F75" w:rsidP="006E0128">
      <w:pPr>
        <w:spacing w:line="360" w:lineRule="auto"/>
        <w:jc w:val="both"/>
        <w:rPr>
          <w:vertAlign w:val="superscript"/>
          <w:lang w:val="hr-HR"/>
        </w:rPr>
      </w:pPr>
      <w:r w:rsidRPr="00DC30ED">
        <w:lastRenderedPageBreak/>
        <w:t xml:space="preserve">U usporedbi s drugim aspartičnim proteazama iz sisavaca, poput pepsina i katepsina D, kristalna struktura proteazne domene β-sekretaza sadrži jedinstvene dodatne petlje koje sugeriraju da aktivno mjesto enzima može sadržavati dodatne podjedinice u produžetku </w:t>
      </w:r>
      <w:r w:rsidR="00427CB2">
        <w:t xml:space="preserve">enzimske </w:t>
      </w:r>
      <w:r w:rsidRPr="00DC30ED">
        <w:t>podjedinice S4. U tu svrhu određena je kristalna struktura kokristala katalitičke domene β-sekretaze i inhibitora P10-P4′StatVal (Lys-Thr-Glu-Glu-Ile-Ser-Glu-Val-Asn-(statin)-Val-Ala-Glu-Phe) u kojem je statin izoster prijelaznog stanja te zauzima pozicije P1 i P1’</w:t>
      </w:r>
      <w:r w:rsidR="00AF43E1">
        <w:t>(slika 7)</w:t>
      </w:r>
      <w:r w:rsidRPr="00DC30ED">
        <w:t>.</w:t>
      </w:r>
      <w:r w:rsidR="0041563A">
        <w:rPr>
          <w:vertAlign w:val="superscript"/>
        </w:rPr>
        <w:t>26</w:t>
      </w:r>
      <w:r w:rsidRPr="00DC30ED">
        <w:t xml:space="preserve"> </w:t>
      </w:r>
      <w:r w:rsidRPr="00AF43E1">
        <w:rPr>
          <w:lang w:val="hr-HR"/>
        </w:rPr>
        <w:t>Elektronska gustoća dobro je definirana za pozicije P7 – P4' (</w:t>
      </w:r>
      <w:r w:rsidRPr="00AF43E1">
        <w:t>Glu-Ile-Ser- Glu-Val-Asn-(statin)-Val-Ala-Glu), dok je za pozicije P10 – P8 (Lys-Thr-Glu) na N-kraju te P5’ (</w:t>
      </w:r>
      <w:r w:rsidRPr="00AF43E1">
        <w:rPr>
          <w:lang w:val="hr-HR"/>
        </w:rPr>
        <w:t xml:space="preserve">Phe) na C-kraju vrlo mala, što govori da se pozicije P7 i P4' vežu na krajeve rascjepa u aktivnom mjestu, dok </w:t>
      </w:r>
      <w:r w:rsidR="00AF43E1" w:rsidRPr="00AF43E1">
        <w:rPr>
          <w:lang w:val="hr-HR"/>
        </w:rPr>
        <w:t>aminokiselinski ostaci</w:t>
      </w:r>
      <w:r w:rsidRPr="00AF43E1">
        <w:rPr>
          <w:lang w:val="hr-HR"/>
        </w:rPr>
        <w:t xml:space="preserve"> koji se nalaze dalje od tih pozicija ne ostvaruju značajne interakcije u aktivnom mjestu.</w:t>
      </w:r>
      <w:r w:rsidR="0041563A">
        <w:rPr>
          <w:vertAlign w:val="superscript"/>
          <w:lang w:val="hr-HR"/>
        </w:rPr>
        <w:t>26</w:t>
      </w:r>
      <w:r w:rsidRPr="00AF43E1">
        <w:rPr>
          <w:lang w:val="hr-HR"/>
        </w:rPr>
        <w:t xml:space="preserve"> Mjerenje kinetičkih parametara supstrata s različitim aminokiselinama na pozicijama P5 - P7 pokazalo je da navedene pozicije preferiraju hidrofobne aminokiseline, posebice Trp (smanjenje </w:t>
      </w:r>
      <w:r w:rsidRPr="00AF43E1">
        <w:rPr>
          <w:i/>
          <w:lang w:val="hr-HR"/>
        </w:rPr>
        <w:t>K</w:t>
      </w:r>
      <w:r w:rsidRPr="00AF43E1">
        <w:rPr>
          <w:vertAlign w:val="subscript"/>
          <w:lang w:val="hr-HR"/>
        </w:rPr>
        <w:t>m</w:t>
      </w:r>
      <w:r w:rsidRPr="00AF43E1">
        <w:rPr>
          <w:lang w:val="hr-HR"/>
        </w:rPr>
        <w:t xml:space="preserve">, povećanje vrijednosti </w:t>
      </w:r>
      <w:r w:rsidRPr="00AF43E1">
        <w:rPr>
          <w:i/>
          <w:lang w:val="hr-HR"/>
        </w:rPr>
        <w:t>k</w:t>
      </w:r>
      <w:r w:rsidRPr="00AF43E1">
        <w:rPr>
          <w:vertAlign w:val="subscript"/>
          <w:lang w:val="hr-HR"/>
        </w:rPr>
        <w:t>cat</w:t>
      </w:r>
      <w:r w:rsidRPr="00AF43E1">
        <w:rPr>
          <w:shd w:val="clear" w:color="auto" w:fill="FFFFFF" w:themeFill="background1"/>
          <w:lang w:val="hr-HR"/>
        </w:rPr>
        <w:t>). Inhibitor OM03-4 (</w:t>
      </w:r>
      <w:r w:rsidRPr="00AF43E1">
        <w:rPr>
          <w:shd w:val="clear" w:color="auto" w:fill="FFFFFF" w:themeFill="background1"/>
        </w:rPr>
        <w:t xml:space="preserve">Arg-Glu-Trp-Trp-Ser-Glu-Val- Asn-L*A-Ala-Glu-Phe; L*A predstavlja Leu i Ala povezane hidroksietilenskim izosterom) </w:t>
      </w:r>
      <w:r w:rsidRPr="00AF43E1">
        <w:rPr>
          <w:shd w:val="clear" w:color="auto" w:fill="FFFFFF" w:themeFill="background1"/>
          <w:lang w:val="hr-HR"/>
        </w:rPr>
        <w:t xml:space="preserve">koji na pozicijama P6 i P7 ima Trp inhibira β-sekretazu uz </w:t>
      </w:r>
      <w:r w:rsidRPr="00AF43E1">
        <w:rPr>
          <w:i/>
          <w:shd w:val="clear" w:color="auto" w:fill="FFFFFF" w:themeFill="background1"/>
          <w:lang w:val="hr-HR"/>
        </w:rPr>
        <w:t>K</w:t>
      </w:r>
      <w:r w:rsidRPr="00AF43E1">
        <w:rPr>
          <w:shd w:val="clear" w:color="auto" w:fill="FFFFFF" w:themeFill="background1"/>
          <w:vertAlign w:val="subscript"/>
          <w:lang w:val="hr-HR"/>
        </w:rPr>
        <w:t xml:space="preserve">i </w:t>
      </w:r>
      <w:r w:rsidRPr="00AF43E1">
        <w:rPr>
          <w:shd w:val="clear" w:color="auto" w:fill="FFFFFF" w:themeFill="background1"/>
          <w:lang w:val="hr-HR"/>
        </w:rPr>
        <w:t xml:space="preserve">vrijednost </w:t>
      </w:r>
      <w:r w:rsidR="00AF43E1">
        <w:rPr>
          <w:shd w:val="clear" w:color="auto" w:fill="FFFFFF" w:themeFill="background1"/>
          <w:lang w:val="hr-HR"/>
        </w:rPr>
        <w:t xml:space="preserve">~10 puta </w:t>
      </w:r>
      <w:r w:rsidRPr="00AF43E1">
        <w:rPr>
          <w:shd w:val="clear" w:color="auto" w:fill="FFFFFF" w:themeFill="background1"/>
          <w:lang w:val="hr-HR"/>
        </w:rPr>
        <w:t>niž</w:t>
      </w:r>
      <w:r w:rsidR="00AF43E1">
        <w:rPr>
          <w:shd w:val="clear" w:color="auto" w:fill="FFFFFF" w:themeFill="background1"/>
          <w:lang w:val="hr-HR"/>
        </w:rPr>
        <w:t>u</w:t>
      </w:r>
      <w:r w:rsidRPr="00AF43E1">
        <w:rPr>
          <w:shd w:val="clear" w:color="auto" w:fill="FFFFFF" w:themeFill="background1"/>
          <w:lang w:val="hr-HR"/>
        </w:rPr>
        <w:t xml:space="preserve"> od </w:t>
      </w:r>
      <w:r w:rsidRPr="00AF43E1">
        <w:rPr>
          <w:i/>
          <w:shd w:val="clear" w:color="auto" w:fill="FFFFFF" w:themeFill="background1"/>
          <w:lang w:val="hr-HR"/>
        </w:rPr>
        <w:t>K</w:t>
      </w:r>
      <w:r w:rsidRPr="00AF43E1">
        <w:rPr>
          <w:shd w:val="clear" w:color="auto" w:fill="FFFFFF" w:themeFill="background1"/>
          <w:vertAlign w:val="subscript"/>
          <w:lang w:val="hr-HR"/>
        </w:rPr>
        <w:t xml:space="preserve">i </w:t>
      </w:r>
      <w:r w:rsidRPr="00AF43E1">
        <w:rPr>
          <w:shd w:val="clear" w:color="auto" w:fill="FFFFFF" w:themeFill="background1"/>
          <w:lang w:val="hr-HR"/>
        </w:rPr>
        <w:t>vrijednosti OM00-3 inhibitora i upućuje na to da podjedinice P5 – P7 sudjeluju u vezanju analoga prijelaznog stanja u aktivnom mjestu enzima.</w:t>
      </w:r>
      <w:r w:rsidR="0041563A">
        <w:rPr>
          <w:shd w:val="clear" w:color="auto" w:fill="FFFFFF" w:themeFill="background1"/>
          <w:vertAlign w:val="superscript"/>
          <w:lang w:val="hr-HR"/>
        </w:rPr>
        <w:t>26</w:t>
      </w:r>
      <w:r w:rsidRPr="00AF43E1">
        <w:rPr>
          <w:lang w:val="hr-HR"/>
        </w:rPr>
        <w:t xml:space="preserve"> </w:t>
      </w:r>
      <w:r w:rsidRPr="00AF43E1">
        <w:rPr>
          <w:shd w:val="clear" w:color="auto" w:fill="FFFFFF" w:themeFill="background1"/>
          <w:lang w:val="hr-HR"/>
        </w:rPr>
        <w:t>Aminokiseline na pozicijama P8 i P9 nemaju definiranu elektronsku gustoću, dok je za P7 ona vrlo slaba</w:t>
      </w:r>
      <w:r w:rsidR="00AF43E1">
        <w:rPr>
          <w:shd w:val="clear" w:color="auto" w:fill="FFFFFF" w:themeFill="background1"/>
          <w:lang w:val="hr-HR"/>
        </w:rPr>
        <w:t xml:space="preserve"> (slika 7)</w:t>
      </w:r>
      <w:r w:rsidRPr="00AF43E1">
        <w:rPr>
          <w:shd w:val="clear" w:color="auto" w:fill="FFFFFF" w:themeFill="background1"/>
          <w:lang w:val="hr-HR"/>
        </w:rPr>
        <w:t>.</w:t>
      </w:r>
      <w:r w:rsidRPr="00AF43E1">
        <w:rPr>
          <w:lang w:val="hr-HR"/>
        </w:rPr>
        <w:t xml:space="preserve"> </w:t>
      </w:r>
      <w:r w:rsidRPr="00AD50C4">
        <w:rPr>
          <w:lang w:val="hr-HR"/>
        </w:rPr>
        <w:t xml:space="preserve">Bočni ogranak P7-Trp ostvaruje hidrofobne interakcije s bočnim ogrankom na poziciji P5, što objašnjava preferenciju za Trp i općenito hidrofobne aminokiseline na pozicijama P5 i P7. Nabijeni bočni ogranci na ovim pozicijama smanjuju katalitičku aktivnost enzima zbog nepovoljnih interakcija s bočnim ograncima Lys321 i Arg307 u aktivnom mjestu.  Zanimljivo je da APP, kao prirodni supstrat β-sekretaza, na navedenim pozicijama ne sadrži najpovoljnije </w:t>
      </w:r>
      <w:r w:rsidR="00AD50C4" w:rsidRPr="00AD50C4">
        <w:rPr>
          <w:lang w:val="hr-HR"/>
        </w:rPr>
        <w:t>aminokiseline</w:t>
      </w:r>
      <w:r w:rsidRPr="00AD50C4">
        <w:rPr>
          <w:lang w:val="hr-HR"/>
        </w:rPr>
        <w:t xml:space="preserve"> za vezanje u aktivno mjesto, što znači da su neki drugi fiziološki supstrati β-sekretaza možda povoljniji supstrati od APP.</w:t>
      </w:r>
      <w:r w:rsidR="0041563A">
        <w:rPr>
          <w:vertAlign w:val="superscript"/>
          <w:lang w:val="hr-HR"/>
        </w:rPr>
        <w:t>26</w:t>
      </w:r>
    </w:p>
    <w:p w14:paraId="465B0D41" w14:textId="77777777" w:rsidR="00093F75" w:rsidRPr="00E433DD" w:rsidRDefault="00683C3C" w:rsidP="00683C3C">
      <w:pPr>
        <w:spacing w:line="360" w:lineRule="auto"/>
        <w:ind w:left="360" w:firstLine="360"/>
        <w:jc w:val="center"/>
        <w:rPr>
          <w:noProof/>
          <w:lang w:val="hr-HR"/>
        </w:rPr>
      </w:pPr>
      <w:r>
        <w:rPr>
          <w:noProof/>
          <w:lang w:val="hr-HR"/>
        </w:rPr>
        <w:lastRenderedPageBreak/>
        <w:drawing>
          <wp:anchor distT="0" distB="0" distL="114300" distR="114300" simplePos="0" relativeHeight="251666944" behindDoc="0" locked="0" layoutInCell="1" allowOverlap="1" wp14:anchorId="08A59AAB" wp14:editId="542B39FB">
            <wp:simplePos x="0" y="0"/>
            <wp:positionH relativeFrom="margin">
              <wp:align>left</wp:align>
            </wp:positionH>
            <wp:positionV relativeFrom="paragraph">
              <wp:posOffset>0</wp:posOffset>
            </wp:positionV>
            <wp:extent cx="5902960" cy="3535529"/>
            <wp:effectExtent l="0" t="0" r="2540" b="825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CE1-statval-OM03-4-usporedba.png"/>
                    <pic:cNvPicPr/>
                  </pic:nvPicPr>
                  <pic:blipFill>
                    <a:blip r:embed="rId21"/>
                    <a:stretch>
                      <a:fillRect/>
                    </a:stretch>
                  </pic:blipFill>
                  <pic:spPr>
                    <a:xfrm>
                      <a:off x="0" y="0"/>
                      <a:ext cx="5902960" cy="3535529"/>
                    </a:xfrm>
                    <a:prstGeom prst="rect">
                      <a:avLst/>
                    </a:prstGeom>
                  </pic:spPr>
                </pic:pic>
              </a:graphicData>
            </a:graphic>
          </wp:anchor>
        </w:drawing>
      </w:r>
    </w:p>
    <w:p w14:paraId="2E184C1C" w14:textId="77777777" w:rsidR="00526F52" w:rsidRDefault="00093F75" w:rsidP="0041563A">
      <w:pPr>
        <w:spacing w:line="360" w:lineRule="auto"/>
        <w:ind w:left="360"/>
        <w:jc w:val="center"/>
      </w:pPr>
      <w:r>
        <w:t xml:space="preserve">Slika </w:t>
      </w:r>
      <w:r w:rsidR="00903414">
        <w:t>7</w:t>
      </w:r>
      <w:r>
        <w:t xml:space="preserve">. Kristalna struktura β-sekretaze u kompleksu s inhibitorom </w:t>
      </w:r>
      <w:r w:rsidR="00AB6548" w:rsidRPr="00DC30ED">
        <w:t xml:space="preserve">P10-P4′StatVal </w:t>
      </w:r>
      <w:r w:rsidR="00AB6548">
        <w:t xml:space="preserve">(lijevo) i inhibitorom </w:t>
      </w:r>
      <w:r>
        <w:t>OM03-4</w:t>
      </w:r>
      <w:r w:rsidR="00AB6548">
        <w:t xml:space="preserve"> (desno). N-kraj enzima obojan je žuto, dok je C-kraj ružičast. Pozicije P4 – P4’ inhibitora prikazane su zeleno, dok je pozicija P5 – P7 obojena plavo kod </w:t>
      </w:r>
      <w:r w:rsidR="00AB6548" w:rsidRPr="00DC30ED">
        <w:t>P10-P4′StatVal</w:t>
      </w:r>
      <w:r w:rsidR="00AB6548">
        <w:t xml:space="preserve">, odnosno crveno kod OM03-4. </w:t>
      </w:r>
      <w:r>
        <w:t xml:space="preserve">(preuzeto </w:t>
      </w:r>
      <w:r w:rsidR="00AB6548">
        <w:t xml:space="preserve">i prilagođeno </w:t>
      </w:r>
      <w:r>
        <w:t xml:space="preserve">iz reference </w:t>
      </w:r>
      <w:r w:rsidR="00AB6548">
        <w:rPr>
          <w:b/>
        </w:rPr>
        <w:t>26</w:t>
      </w:r>
      <w:r>
        <w:t xml:space="preserve">). </w:t>
      </w:r>
    </w:p>
    <w:p w14:paraId="752C8B4F" w14:textId="77777777" w:rsidR="00093F75" w:rsidRPr="001C4D0B" w:rsidRDefault="00093F75" w:rsidP="00093F75">
      <w:pPr>
        <w:pStyle w:val="OCJENSKIRADOVI2Podnaslovpoglavlja"/>
      </w:pPr>
      <w:bookmarkStart w:id="15" w:name="_Hlk91500919"/>
      <w:bookmarkStart w:id="16" w:name="_Toc101271717"/>
      <w:r w:rsidRPr="001C4D0B">
        <w:t>Dinamika aktivnog mjesta</w:t>
      </w:r>
      <w:bookmarkEnd w:id="15"/>
      <w:bookmarkEnd w:id="16"/>
    </w:p>
    <w:p w14:paraId="48E95E4B" w14:textId="77777777" w:rsidR="00093F75" w:rsidRPr="00AC4EE4" w:rsidRDefault="000257B7" w:rsidP="00093F75">
      <w:pPr>
        <w:spacing w:line="360" w:lineRule="auto"/>
        <w:jc w:val="both"/>
        <w:rPr>
          <w:vertAlign w:val="superscript"/>
          <w:lang w:val="hr-HR"/>
        </w:rPr>
      </w:pPr>
      <w:r>
        <w:rPr>
          <w:lang w:val="hr-HR"/>
        </w:rPr>
        <w:t xml:space="preserve">Sa svrhom boljeg razumijevanja katalitičkog djelovanja β-sekretaze i lakše potrage za potencijalnim inhibitorima </w:t>
      </w:r>
      <w:r w:rsidR="00093F75">
        <w:rPr>
          <w:lang w:val="hr-HR"/>
        </w:rPr>
        <w:t>Mishra i suradnici metodama simulacije molekulske dinamike (MD) analizirali su dinamiku konformacijskih promjena aktivnog mjesta β-sekretaza prilikom hidrolize oktapeptidnog supstrata.</w:t>
      </w:r>
      <w:r w:rsidR="00F22678">
        <w:rPr>
          <w:vertAlign w:val="superscript"/>
          <w:lang w:val="hr-HR"/>
        </w:rPr>
        <w:t>27</w:t>
      </w:r>
      <w:r w:rsidR="00093F75">
        <w:rPr>
          <w:lang w:val="hr-HR"/>
        </w:rPr>
        <w:t xml:space="preserve"> </w:t>
      </w:r>
      <w:r w:rsidR="00093F75" w:rsidRPr="001C4D0B">
        <w:rPr>
          <w:lang w:val="hr-HR"/>
        </w:rPr>
        <w:t>Kompleks enzim-supstrat modeliran je za 3 koraka reakcije hidrolize, tako da predstavlja reaktante, međuprodukt i produkt. Za polaznu strukturu odabran je kompleks β-sekretaze s OM99-2 inhibitorom</w:t>
      </w:r>
      <w:r w:rsidR="000510EE">
        <w:rPr>
          <w:lang w:val="hr-HR"/>
        </w:rPr>
        <w:t>.</w:t>
      </w:r>
      <w:r w:rsidR="00093F75" w:rsidRPr="001C4D0B">
        <w:rPr>
          <w:lang w:val="hr-HR"/>
        </w:rPr>
        <w:t xml:space="preserve"> Protein APP (</w:t>
      </w:r>
      <w:r w:rsidR="00093F75" w:rsidRPr="001C4D0B">
        <w:rPr>
          <w:i/>
          <w:lang w:val="hr-HR"/>
        </w:rPr>
        <w:t>Swedish type</w:t>
      </w:r>
      <w:r w:rsidR="00093F75" w:rsidRPr="001C4D0B">
        <w:rPr>
          <w:lang w:val="hr-HR"/>
        </w:rPr>
        <w:t>, dvostruki mutant Lys(P2)Asn/Met(P1)Leu uz dodatnu mutaciju Asp(P1')Ala kao kod OM99-2) modeliran je u tri forme koje predstavljaju reaktant, međuprodukt i produkt u hidrolitičkoj reakciji. Hidroksietilenski izoster supstrata-reaktanta zamijenjen je karbonilnom skupinom da predstavlja peptidnu vezu. U međuproduktu hidroksietilen zamjenjuje gem-diol, a u produktu je peptidna veza zamijenjena COO</w:t>
      </w:r>
      <w:r w:rsidR="0047649D" w:rsidRPr="001C4D0B">
        <w:rPr>
          <w:lang w:val="hr-HR"/>
        </w:rPr>
        <w:t>H</w:t>
      </w:r>
      <w:r w:rsidR="00093F75" w:rsidRPr="001C4D0B">
        <w:rPr>
          <w:lang w:val="hr-HR"/>
        </w:rPr>
        <w:t xml:space="preserve"> skupinom na Leu(P1) i NH</w:t>
      </w:r>
      <w:r w:rsidR="00093F75" w:rsidRPr="001C4D0B">
        <w:rPr>
          <w:vertAlign w:val="subscript"/>
          <w:lang w:val="hr-HR"/>
        </w:rPr>
        <w:t>2</w:t>
      </w:r>
      <w:r w:rsidR="00093F75" w:rsidRPr="001C4D0B">
        <w:rPr>
          <w:lang w:val="hr-HR"/>
        </w:rPr>
        <w:t xml:space="preserve"> skupinom na A</w:t>
      </w:r>
      <w:r w:rsidR="0047649D" w:rsidRPr="001C4D0B">
        <w:rPr>
          <w:lang w:val="hr-HR"/>
        </w:rPr>
        <w:t>la</w:t>
      </w:r>
      <w:r w:rsidR="00093F75" w:rsidRPr="001C4D0B">
        <w:rPr>
          <w:lang w:val="hr-HR"/>
        </w:rPr>
        <w:t xml:space="preserve">(P1'). </w:t>
      </w:r>
      <w:r w:rsidR="00093F75" w:rsidRPr="001C4D0B">
        <w:rPr>
          <w:lang w:val="hr-HR"/>
        </w:rPr>
        <w:lastRenderedPageBreak/>
        <w:t xml:space="preserve">Katalitički Asp32 protoniran je u formi reaktanta i produkta, dok je Asp228 protoniran u formi međuprodukta. Shema mehanizma hidrolize potponognute β-sekretazama prikazana je na slici </w:t>
      </w:r>
      <w:r w:rsidR="00CD2D77">
        <w:rPr>
          <w:lang w:val="hr-HR"/>
        </w:rPr>
        <w:t>8</w:t>
      </w:r>
      <w:r w:rsidR="00093F75" w:rsidRPr="001C4D0B">
        <w:rPr>
          <w:lang w:val="hr-HR"/>
        </w:rPr>
        <w:t>.</w:t>
      </w:r>
      <w:r w:rsidR="00AC4EE4">
        <w:rPr>
          <w:vertAlign w:val="superscript"/>
          <w:lang w:val="hr-HR"/>
        </w:rPr>
        <w:t>27</w:t>
      </w:r>
    </w:p>
    <w:p w14:paraId="3BD3422E" w14:textId="77777777" w:rsidR="00093F75" w:rsidRDefault="00A77720" w:rsidP="00FF5920">
      <w:pPr>
        <w:spacing w:line="360" w:lineRule="auto"/>
        <w:ind w:left="360"/>
        <w:jc w:val="center"/>
        <w:rPr>
          <w:lang w:val="hr-HR"/>
        </w:rPr>
      </w:pPr>
      <w:r>
        <w:rPr>
          <w:noProof/>
          <w:lang w:val="hr-HR"/>
        </w:rPr>
        <w:drawing>
          <wp:anchor distT="0" distB="0" distL="114300" distR="114300" simplePos="0" relativeHeight="251664896" behindDoc="0" locked="0" layoutInCell="1" allowOverlap="1" wp14:anchorId="195C444D" wp14:editId="03B509F4">
            <wp:simplePos x="0" y="0"/>
            <wp:positionH relativeFrom="margin">
              <wp:align>center</wp:align>
            </wp:positionH>
            <wp:positionV relativeFrom="paragraph">
              <wp:posOffset>234315</wp:posOffset>
            </wp:positionV>
            <wp:extent cx="6943725" cy="18383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6.PNG"/>
                    <pic:cNvPicPr/>
                  </pic:nvPicPr>
                  <pic:blipFill>
                    <a:blip r:embed="rId22">
                      <a:extLst>
                        <a:ext uri="{28A0092B-C50C-407E-A947-70E740481C1C}">
                          <a14:useLocalDpi xmlns:a14="http://schemas.microsoft.com/office/drawing/2010/main" val="0"/>
                        </a:ext>
                      </a:extLst>
                    </a:blip>
                    <a:stretch>
                      <a:fillRect/>
                    </a:stretch>
                  </pic:blipFill>
                  <pic:spPr>
                    <a:xfrm>
                      <a:off x="0" y="0"/>
                      <a:ext cx="6943725" cy="1838325"/>
                    </a:xfrm>
                    <a:prstGeom prst="rect">
                      <a:avLst/>
                    </a:prstGeom>
                  </pic:spPr>
                </pic:pic>
              </a:graphicData>
            </a:graphic>
            <wp14:sizeRelH relativeFrom="margin">
              <wp14:pctWidth>0</wp14:pctWidth>
            </wp14:sizeRelH>
            <wp14:sizeRelV relativeFrom="margin">
              <wp14:pctHeight>0</wp14:pctHeight>
            </wp14:sizeRelV>
          </wp:anchor>
        </w:drawing>
      </w:r>
    </w:p>
    <w:p w14:paraId="329EBDDF" w14:textId="77777777" w:rsidR="00093F75" w:rsidRDefault="00093F75" w:rsidP="00093F75">
      <w:pPr>
        <w:spacing w:line="360" w:lineRule="auto"/>
        <w:ind w:left="360"/>
        <w:jc w:val="center"/>
        <w:rPr>
          <w:lang w:val="hr-HR"/>
        </w:rPr>
      </w:pPr>
      <w:r>
        <w:rPr>
          <w:lang w:val="hr-HR"/>
        </w:rPr>
        <w:t xml:space="preserve">Slika </w:t>
      </w:r>
      <w:r w:rsidR="00CD2D77">
        <w:rPr>
          <w:lang w:val="hr-HR"/>
        </w:rPr>
        <w:t>8</w:t>
      </w:r>
      <w:r>
        <w:rPr>
          <w:lang w:val="hr-HR"/>
        </w:rPr>
        <w:t xml:space="preserve">. Mehanizam hidrolize supstrata potpomognut β-sekretazom. R – reaktanti; I – međuprodukt (tetraedarski gem-diol); P – produkti. (preuzeto iz reference </w:t>
      </w:r>
      <w:r w:rsidR="001C4D0B">
        <w:rPr>
          <w:b/>
          <w:lang w:val="hr-HR"/>
        </w:rPr>
        <w:t>27</w:t>
      </w:r>
      <w:r>
        <w:rPr>
          <w:lang w:val="hr-HR"/>
        </w:rPr>
        <w:t>)</w:t>
      </w:r>
    </w:p>
    <w:p w14:paraId="0EE6E1B7" w14:textId="77777777" w:rsidR="00093F75" w:rsidRDefault="00093F75" w:rsidP="00093F75">
      <w:pPr>
        <w:spacing w:line="360" w:lineRule="auto"/>
        <w:ind w:left="360"/>
        <w:jc w:val="center"/>
        <w:rPr>
          <w:lang w:val="hr-HR"/>
        </w:rPr>
      </w:pPr>
    </w:p>
    <w:p w14:paraId="4A6DEAD1" w14:textId="77777777" w:rsidR="00093F75" w:rsidRDefault="000257B7" w:rsidP="00CE4A80">
      <w:pPr>
        <w:spacing w:line="360" w:lineRule="auto"/>
        <w:jc w:val="both"/>
        <w:rPr>
          <w:vertAlign w:val="superscript"/>
          <w:lang w:val="hr-HR"/>
        </w:rPr>
      </w:pPr>
      <w:r>
        <w:rPr>
          <w:lang w:val="hr-HR"/>
        </w:rPr>
        <w:t xml:space="preserve">N-terminalni i C-terminalni režnjevi enzima tvore rascjep u koji se veže supstrat. </w:t>
      </w:r>
      <w:r w:rsidR="00093F75">
        <w:rPr>
          <w:lang w:val="hr-HR"/>
        </w:rPr>
        <w:t xml:space="preserve">MD simulacije pokazale su da se </w:t>
      </w:r>
      <w:r w:rsidR="000510EE">
        <w:rPr>
          <w:lang w:val="hr-HR"/>
        </w:rPr>
        <w:t xml:space="preserve">u </w:t>
      </w:r>
      <w:r w:rsidR="00093F75">
        <w:rPr>
          <w:lang w:val="hr-HR"/>
        </w:rPr>
        <w:t>aktivnom mjestu β-sekretaz</w:t>
      </w:r>
      <w:r w:rsidR="001C4D0B">
        <w:rPr>
          <w:lang w:val="hr-HR"/>
        </w:rPr>
        <w:t>e</w:t>
      </w:r>
      <w:r w:rsidR="00093F75">
        <w:rPr>
          <w:lang w:val="hr-HR"/>
        </w:rPr>
        <w:t xml:space="preserve"> uspostavlja  mreža vodikovih veza koj</w:t>
      </w:r>
      <w:r>
        <w:rPr>
          <w:lang w:val="hr-HR"/>
        </w:rPr>
        <w:t>a</w:t>
      </w:r>
      <w:r w:rsidR="00093F75">
        <w:rPr>
          <w:lang w:val="hr-HR"/>
        </w:rPr>
        <w:t xml:space="preserve"> </w:t>
      </w:r>
      <w:r>
        <w:rPr>
          <w:lang w:val="hr-HR"/>
        </w:rPr>
        <w:t>potpomaže vezanje supstrata i aminokiselina na N- i C- kraju rascjepa</w:t>
      </w:r>
      <w:r w:rsidR="00093F75">
        <w:rPr>
          <w:lang w:val="hr-HR"/>
        </w:rPr>
        <w:t>. Najviše vodikovih veza ostvaruje se između enzima i ge</w:t>
      </w:r>
      <w:r w:rsidR="00FE3CE5">
        <w:rPr>
          <w:lang w:val="hr-HR"/>
        </w:rPr>
        <w:t>m</w:t>
      </w:r>
      <w:r w:rsidR="00093F75">
        <w:rPr>
          <w:lang w:val="hr-HR"/>
        </w:rPr>
        <w:t>-diola u prijelaznom stanju. U usporedbi s enzim-reaktant stanjem, fluktuacije u konformaciji su značajno ogr</w:t>
      </w:r>
      <w:r w:rsidR="00FE3CE5">
        <w:rPr>
          <w:lang w:val="hr-HR"/>
        </w:rPr>
        <w:t>a</w:t>
      </w:r>
      <w:r w:rsidR="00093F75">
        <w:rPr>
          <w:lang w:val="hr-HR"/>
        </w:rPr>
        <w:t xml:space="preserve">ničene u enzim-međuprodukt stanju. Ovakva dinamika je očekivana budući da bi mogućnost postizanja različitih konformacija kompleksa u prijelaznom stanju bitno usporila hidrolizu. Nakon hidrolize, N-terminalni fragment (NTF) produkta kojeg čine </w:t>
      </w:r>
      <w:r w:rsidR="001C4D0B">
        <w:rPr>
          <w:lang w:val="hr-HR"/>
        </w:rPr>
        <w:t>aminokiselinski ostaci na pozicijama</w:t>
      </w:r>
      <w:r w:rsidR="00093F75">
        <w:rPr>
          <w:lang w:val="hr-HR"/>
        </w:rPr>
        <w:t xml:space="preserve"> P4 – P1 ne napuštaju aktivno mjesto enzima, za razliku od C-terminalnog fragmenta (CTF, </w:t>
      </w:r>
      <w:r w:rsidR="001C4D0B">
        <w:rPr>
          <w:lang w:val="hr-HR"/>
        </w:rPr>
        <w:t>pozicije</w:t>
      </w:r>
      <w:r w:rsidR="00093F75">
        <w:rPr>
          <w:lang w:val="hr-HR"/>
        </w:rPr>
        <w:t xml:space="preserve"> P1' – P4'). U sva tri stanja NTF je jače povezan vodikovim vezama s </w:t>
      </w:r>
      <w:r w:rsidR="001C4D0B">
        <w:rPr>
          <w:lang w:val="hr-HR"/>
        </w:rPr>
        <w:t>aminokiselinama</w:t>
      </w:r>
      <w:r w:rsidR="00093F75">
        <w:rPr>
          <w:lang w:val="hr-HR"/>
        </w:rPr>
        <w:t xml:space="preserve"> u aktivnom mjestu nego što je to slučaj kod CTF. Nakon hidrolize CTF se spontano otpušta za što ne zahtijeva pomicanje motiva ukosnice koji djelomično zatvara aktivno mjesto poput „preklopa“. </w:t>
      </w:r>
      <w:r w:rsidR="00093F75">
        <w:rPr>
          <w:i/>
          <w:lang w:val="hr-HR"/>
        </w:rPr>
        <w:t>In vivo</w:t>
      </w:r>
      <w:r w:rsidR="00093F75">
        <w:rPr>
          <w:lang w:val="hr-HR"/>
        </w:rPr>
        <w:t>, NTF proteina APP nakon hidrolize postaje postaje C-kraj topljivog sAPPβ peptida, dok CTF postaje N-kraj CTFβ peptida koji podliježe djelovanju γ-sekretaza.</w:t>
      </w:r>
      <w:r w:rsidR="00AC4EE4">
        <w:rPr>
          <w:vertAlign w:val="superscript"/>
          <w:lang w:val="hr-HR"/>
        </w:rPr>
        <w:t>27</w:t>
      </w:r>
    </w:p>
    <w:p w14:paraId="75D63CBF" w14:textId="77777777" w:rsidR="000510EE" w:rsidRPr="00AC4EE4" w:rsidRDefault="000510EE" w:rsidP="00CE4A80">
      <w:pPr>
        <w:spacing w:line="360" w:lineRule="auto"/>
        <w:jc w:val="both"/>
        <w:rPr>
          <w:vertAlign w:val="superscript"/>
          <w:lang w:val="hr-HR"/>
        </w:rPr>
      </w:pPr>
    </w:p>
    <w:p w14:paraId="36E57003" w14:textId="77777777" w:rsidR="00E27043" w:rsidRDefault="00E27043" w:rsidP="00CE4A80">
      <w:pPr>
        <w:spacing w:line="360" w:lineRule="auto"/>
        <w:jc w:val="both"/>
        <w:rPr>
          <w:b/>
          <w:vertAlign w:val="superscript"/>
          <w:lang w:val="hr-HR"/>
        </w:rPr>
      </w:pPr>
    </w:p>
    <w:p w14:paraId="1B06EA0D" w14:textId="77777777" w:rsidR="00E067BE" w:rsidRDefault="00E067BE" w:rsidP="00CE4A80">
      <w:pPr>
        <w:spacing w:line="360" w:lineRule="auto"/>
        <w:jc w:val="both"/>
        <w:rPr>
          <w:b/>
          <w:vertAlign w:val="superscript"/>
          <w:lang w:val="hr-HR"/>
        </w:rPr>
      </w:pPr>
    </w:p>
    <w:p w14:paraId="734DA8B8" w14:textId="77777777" w:rsidR="00E067BE" w:rsidRDefault="00E067BE" w:rsidP="00CE4A80">
      <w:pPr>
        <w:spacing w:line="360" w:lineRule="auto"/>
        <w:jc w:val="both"/>
        <w:rPr>
          <w:b/>
          <w:vertAlign w:val="superscript"/>
          <w:lang w:val="hr-HR"/>
        </w:rPr>
      </w:pPr>
    </w:p>
    <w:p w14:paraId="054E9D4C" w14:textId="77777777" w:rsidR="00E27686" w:rsidRPr="00867BF7" w:rsidRDefault="00E27686" w:rsidP="00E27686">
      <w:pPr>
        <w:pStyle w:val="OCJENSKIRADOVI2Podnaslovpoglavlja"/>
      </w:pPr>
      <w:bookmarkStart w:id="17" w:name="_Toc101271718"/>
      <w:r w:rsidRPr="00867BF7">
        <w:lastRenderedPageBreak/>
        <w:t>Ostale uloge β-sekretaza</w:t>
      </w:r>
      <w:bookmarkEnd w:id="17"/>
    </w:p>
    <w:p w14:paraId="33F5293A" w14:textId="762F9050" w:rsidR="00E27686" w:rsidRPr="006D4B80" w:rsidRDefault="009E69CF" w:rsidP="00E27686">
      <w:pPr>
        <w:spacing w:line="360" w:lineRule="auto"/>
        <w:jc w:val="both"/>
        <w:rPr>
          <w:vertAlign w:val="superscript"/>
          <w:lang w:val="hr-HR"/>
        </w:rPr>
      </w:pPr>
      <w:r>
        <w:t>Uz već ranije spomenutu ulogu β-sekretaze u procesiranju proteina APP, r</w:t>
      </w:r>
      <w:r w:rsidR="00E27686">
        <w:t xml:space="preserve">elativno slab afinitet </w:t>
      </w:r>
      <w:r>
        <w:t xml:space="preserve">enzima </w:t>
      </w:r>
      <w:r w:rsidR="00E27686">
        <w:t xml:space="preserve">za </w:t>
      </w:r>
      <w:r w:rsidR="00E27686">
        <w:rPr>
          <w:i/>
        </w:rPr>
        <w:t>wild-type</w:t>
      </w:r>
      <w:r w:rsidR="00E27686">
        <w:t xml:space="preserve"> protein APP, kao i nizak prinos produkta </w:t>
      </w:r>
      <w:r w:rsidR="00E27686">
        <w:rPr>
          <w:lang w:val="hr-HR"/>
        </w:rPr>
        <w:t>impliciraju da protein APP možda nije primarni supstrat ovog enzima.</w:t>
      </w:r>
      <w:r w:rsidR="006D4B80">
        <w:rPr>
          <w:vertAlign w:val="superscript"/>
          <w:lang w:val="hr-HR"/>
        </w:rPr>
        <w:t>4</w:t>
      </w:r>
      <w:r w:rsidR="00E27686">
        <w:rPr>
          <w:lang w:val="hr-HR"/>
        </w:rPr>
        <w:t xml:space="preserve"> S ciljem boljeg razumijevanja uloge ovog enzima otkriveno </w:t>
      </w:r>
      <w:r w:rsidR="006D4B80">
        <w:rPr>
          <w:lang w:val="hr-HR"/>
        </w:rPr>
        <w:t xml:space="preserve">je </w:t>
      </w:r>
      <w:r w:rsidR="00E27686">
        <w:rPr>
          <w:lang w:val="hr-HR"/>
        </w:rPr>
        <w:t>nekoliko supstrata, među kojima su PSLG-1 (P-selektin glikoprotein ligand-1), ST6Gal1 (sialilitransferaza), LRP (</w:t>
      </w:r>
      <w:r w:rsidR="00E27686" w:rsidRPr="005B63CD">
        <w:rPr>
          <w:i/>
          <w:u w:val="single"/>
          <w:lang w:val="hr-HR"/>
        </w:rPr>
        <w:t>l</w:t>
      </w:r>
      <w:r w:rsidR="00E27686" w:rsidRPr="005B63CD">
        <w:rPr>
          <w:i/>
          <w:lang w:val="hr-HR"/>
        </w:rPr>
        <w:t>ow-density lipoprotein receptor-</w:t>
      </w:r>
      <w:r w:rsidR="00E27686" w:rsidRPr="005B63CD">
        <w:rPr>
          <w:i/>
          <w:u w:val="single"/>
          <w:lang w:val="hr-HR"/>
        </w:rPr>
        <w:t>r</w:t>
      </w:r>
      <w:r w:rsidR="00E27686" w:rsidRPr="005B63CD">
        <w:rPr>
          <w:i/>
          <w:lang w:val="hr-HR"/>
        </w:rPr>
        <w:t xml:space="preserve">elated </w:t>
      </w:r>
      <w:r w:rsidR="00E27686" w:rsidRPr="005B63CD">
        <w:rPr>
          <w:i/>
          <w:u w:val="single"/>
          <w:lang w:val="hr-HR"/>
        </w:rPr>
        <w:t>p</w:t>
      </w:r>
      <w:r w:rsidR="00E27686" w:rsidRPr="005B63CD">
        <w:rPr>
          <w:i/>
          <w:lang w:val="hr-HR"/>
        </w:rPr>
        <w:t>rotein</w:t>
      </w:r>
      <w:r w:rsidR="00E27686">
        <w:rPr>
          <w:lang w:val="hr-HR"/>
        </w:rPr>
        <w:t>), NRG1 (neuregulin-1)</w:t>
      </w:r>
      <w:r w:rsidR="006D705F">
        <w:rPr>
          <w:lang w:val="hr-HR"/>
        </w:rPr>
        <w:t>,</w:t>
      </w:r>
      <w:r w:rsidR="00E27686">
        <w:rPr>
          <w:lang w:val="hr-HR"/>
        </w:rPr>
        <w:t xml:space="preserve"> IL-1 R2 (interleukin-1 receptor II)</w:t>
      </w:r>
      <w:r w:rsidR="006D705F">
        <w:rPr>
          <w:lang w:val="hr-HR"/>
        </w:rPr>
        <w:t>,</w:t>
      </w:r>
      <w:r w:rsidR="006D705F" w:rsidRPr="006D705F">
        <w:t xml:space="preserve"> </w:t>
      </w:r>
      <w:r w:rsidR="006D705F">
        <w:t>CHL1 (</w:t>
      </w:r>
      <w:r w:rsidR="006D705F">
        <w:rPr>
          <w:i/>
        </w:rPr>
        <w:t>cell adhesion molecule 1</w:t>
      </w:r>
      <w:r w:rsidR="006D705F">
        <w:t>) i JAG1 ligand (</w:t>
      </w:r>
      <w:r w:rsidR="006D705F">
        <w:rPr>
          <w:i/>
        </w:rPr>
        <w:t>Jagged1</w:t>
      </w:r>
      <w:r w:rsidR="006D705F">
        <w:t>)</w:t>
      </w:r>
      <w:r w:rsidR="00E27686">
        <w:rPr>
          <w:lang w:val="hr-HR"/>
        </w:rPr>
        <w:t>.</w:t>
      </w:r>
      <w:r w:rsidR="006D4B80">
        <w:rPr>
          <w:vertAlign w:val="superscript"/>
          <w:lang w:val="hr-HR"/>
        </w:rPr>
        <w:t>3,4</w:t>
      </w:r>
    </w:p>
    <w:p w14:paraId="5F3B6DE2" w14:textId="77777777" w:rsidR="00E27686" w:rsidRPr="009054F7" w:rsidRDefault="00E27686" w:rsidP="00E27686">
      <w:pPr>
        <w:spacing w:line="360" w:lineRule="auto"/>
        <w:ind w:firstLine="360"/>
        <w:jc w:val="both"/>
        <w:rPr>
          <w:lang w:val="hr-HR"/>
        </w:rPr>
      </w:pPr>
      <w:r w:rsidRPr="009054F7">
        <w:rPr>
          <w:lang w:val="hr-HR"/>
        </w:rPr>
        <w:t xml:space="preserve">Protein PSLG-1 posreduje </w:t>
      </w:r>
      <w:r w:rsidR="00496A2F" w:rsidRPr="009054F7">
        <w:rPr>
          <w:lang w:val="hr-HR"/>
        </w:rPr>
        <w:t>u</w:t>
      </w:r>
      <w:r w:rsidRPr="009054F7">
        <w:rPr>
          <w:lang w:val="hr-HR"/>
        </w:rPr>
        <w:t xml:space="preserve"> adheziji i prometu leukocita, dok je ST6Gal1 zadužen za regulaciju glikozilacije</w:t>
      </w:r>
      <w:r w:rsidR="00496A2F" w:rsidRPr="009054F7">
        <w:rPr>
          <w:lang w:val="hr-HR"/>
        </w:rPr>
        <w:t xml:space="preserve"> kod imunološk</w:t>
      </w:r>
      <w:r w:rsidR="009054F7" w:rsidRPr="009054F7">
        <w:rPr>
          <w:lang w:val="hr-HR"/>
        </w:rPr>
        <w:t>og</w:t>
      </w:r>
      <w:r w:rsidR="00496A2F" w:rsidRPr="009054F7">
        <w:rPr>
          <w:lang w:val="hr-HR"/>
        </w:rPr>
        <w:t xml:space="preserve"> </w:t>
      </w:r>
      <w:r w:rsidR="009054F7" w:rsidRPr="009054F7">
        <w:rPr>
          <w:lang w:val="hr-HR"/>
        </w:rPr>
        <w:t>odgovora</w:t>
      </w:r>
      <w:r w:rsidRPr="009054F7">
        <w:rPr>
          <w:lang w:val="hr-HR"/>
        </w:rPr>
        <w:t>.</w:t>
      </w:r>
      <w:r w:rsidR="006D4B80">
        <w:rPr>
          <w:vertAlign w:val="superscript"/>
          <w:lang w:val="hr-HR"/>
        </w:rPr>
        <w:t>4</w:t>
      </w:r>
      <w:r w:rsidRPr="009054F7">
        <w:rPr>
          <w:lang w:val="hr-HR"/>
        </w:rPr>
        <w:t xml:space="preserve"> Ovakvi supstrati sugeriraju potencijalnu ulogu β-sekretaza u metabolizmu glikokonjugata. PSLG-1 je integralni protein tipa 1, poput proteina APP, dok je ST6Gal1 tip 2, što znači da β-sekretaze mogu djelovati na obje topologije proteina, neovisno o njihovoj orijentaciji u membrani.</w:t>
      </w:r>
      <w:r w:rsidR="006D4B80">
        <w:rPr>
          <w:vertAlign w:val="superscript"/>
          <w:lang w:val="hr-HR"/>
        </w:rPr>
        <w:t>4</w:t>
      </w:r>
      <w:r w:rsidR="00496A2F" w:rsidRPr="009054F7">
        <w:rPr>
          <w:lang w:val="hr-HR"/>
        </w:rPr>
        <w:t xml:space="preserve"> </w:t>
      </w:r>
    </w:p>
    <w:p w14:paraId="05F372D0" w14:textId="77777777" w:rsidR="00E27686" w:rsidRPr="006D4B80" w:rsidRDefault="00E27686" w:rsidP="00E27686">
      <w:pPr>
        <w:spacing w:line="360" w:lineRule="auto"/>
        <w:ind w:firstLine="360"/>
        <w:jc w:val="both"/>
        <w:rPr>
          <w:vertAlign w:val="superscript"/>
          <w:lang w:val="hr-HR"/>
        </w:rPr>
      </w:pPr>
      <w:r w:rsidRPr="00045A51">
        <w:rPr>
          <w:lang w:val="hr-HR"/>
        </w:rPr>
        <w:t xml:space="preserve">LRP je </w:t>
      </w:r>
      <w:r w:rsidR="00387B1B" w:rsidRPr="00045A51">
        <w:rPr>
          <w:lang w:val="hr-HR"/>
        </w:rPr>
        <w:t xml:space="preserve">signalni </w:t>
      </w:r>
      <w:r w:rsidRPr="00045A51">
        <w:rPr>
          <w:lang w:val="hr-HR"/>
        </w:rPr>
        <w:t>receptor koji veže lipoproteine koji sadrže apolipoprotein E. LRP i APP međusobno interagiraju putem C-terminalnih domena i ta interakcija potencijalno ima učinak na djelovanje α- i β-sekretaza na APP, te posljedično na produkciju Aβ. LRP se nalazi u lipidnim splavima te može funkcionirati kao sidrište za protein APP i β-sekretazu, dovodeći ih tako u kontakt što za posljedicu ima povećanu produkciju Aβ.</w:t>
      </w:r>
      <w:r w:rsidR="006D4B80">
        <w:rPr>
          <w:vertAlign w:val="superscript"/>
          <w:lang w:val="hr-HR"/>
        </w:rPr>
        <w:t>4</w:t>
      </w:r>
    </w:p>
    <w:p w14:paraId="678844C4" w14:textId="77777777" w:rsidR="00E27686" w:rsidRPr="006D4B80" w:rsidRDefault="00E27686" w:rsidP="00E27686">
      <w:pPr>
        <w:spacing w:line="360" w:lineRule="auto"/>
        <w:ind w:firstLine="360"/>
        <w:jc w:val="both"/>
        <w:rPr>
          <w:vertAlign w:val="superscript"/>
          <w:lang w:val="hr-HR"/>
        </w:rPr>
      </w:pPr>
      <w:r w:rsidRPr="00756D78">
        <w:rPr>
          <w:lang w:val="hr-HR"/>
        </w:rPr>
        <w:t>NRG-1 pripada u grupu epidermalnih faktora rasta.</w:t>
      </w:r>
      <w:r w:rsidR="00045A51" w:rsidRPr="00756D78">
        <w:rPr>
          <w:lang w:val="hr-HR"/>
        </w:rPr>
        <w:t xml:space="preserve"> Β-sekretaza procesira tip 3 NRG-1 faktora pri čemu uslijed hidrolitičkog cijepanja nastaje fragment koji </w:t>
      </w:r>
      <w:r w:rsidR="00756D78" w:rsidRPr="00756D78">
        <w:rPr>
          <w:lang w:val="hr-HR"/>
        </w:rPr>
        <w:t>interagira s EGFR (</w:t>
      </w:r>
      <w:r w:rsidR="00756D78" w:rsidRPr="00756D78">
        <w:rPr>
          <w:i/>
          <w:lang w:val="hr-HR"/>
        </w:rPr>
        <w:t>epidermal growth factor rceptors</w:t>
      </w:r>
      <w:r w:rsidR="00756D78" w:rsidRPr="00756D78">
        <w:rPr>
          <w:lang w:val="hr-HR"/>
        </w:rPr>
        <w:t>) receptorima na Schwannovim stanicama i inicira signalizaciju za početak procesa mijelinizacije</w:t>
      </w:r>
      <w:r w:rsidR="006D4B80">
        <w:rPr>
          <w:lang w:val="hr-HR"/>
        </w:rPr>
        <w:t>.</w:t>
      </w:r>
      <w:r w:rsidR="006D4B80">
        <w:rPr>
          <w:vertAlign w:val="superscript"/>
          <w:lang w:val="hr-HR"/>
        </w:rPr>
        <w:t>3</w:t>
      </w:r>
      <w:r w:rsidR="00756D78" w:rsidRPr="00756D78">
        <w:rPr>
          <w:lang w:val="hr-HR"/>
        </w:rPr>
        <w:t xml:space="preserve"> Kod </w:t>
      </w:r>
      <w:r w:rsidRPr="00756D78">
        <w:rPr>
          <w:lang w:val="hr-HR"/>
        </w:rPr>
        <w:t xml:space="preserve">BACE-1 </w:t>
      </w:r>
      <w:r w:rsidRPr="00756D78">
        <w:rPr>
          <w:i/>
          <w:lang w:val="hr-HR"/>
        </w:rPr>
        <w:t>knock-out</w:t>
      </w:r>
      <w:r w:rsidRPr="00756D78">
        <w:rPr>
          <w:lang w:val="hr-HR"/>
        </w:rPr>
        <w:t xml:space="preserve"> mišev</w:t>
      </w:r>
      <w:r w:rsidR="00756D78" w:rsidRPr="00756D78">
        <w:rPr>
          <w:lang w:val="hr-HR"/>
        </w:rPr>
        <w:t>a ustanovljena je hipomijelinizacija</w:t>
      </w:r>
      <w:r w:rsidRPr="00756D78">
        <w:rPr>
          <w:lang w:val="hr-HR"/>
        </w:rPr>
        <w:t xml:space="preserve">, </w:t>
      </w:r>
      <w:r w:rsidR="00756D78" w:rsidRPr="00756D78">
        <w:rPr>
          <w:lang w:val="hr-HR"/>
        </w:rPr>
        <w:t xml:space="preserve">što upućuje da </w:t>
      </w:r>
      <w:r w:rsidRPr="00756D78">
        <w:rPr>
          <w:lang w:val="hr-HR"/>
        </w:rPr>
        <w:t xml:space="preserve"> </w:t>
      </w:r>
      <w:r w:rsidR="00DB62E5">
        <w:rPr>
          <w:lang w:val="hr-HR"/>
        </w:rPr>
        <w:t xml:space="preserve">β-sekretaza </w:t>
      </w:r>
      <w:r w:rsidRPr="00756D78">
        <w:rPr>
          <w:lang w:val="hr-HR"/>
        </w:rPr>
        <w:t>vrši ulogu pri mijelinizaciji procesiranjem NRG-1.</w:t>
      </w:r>
      <w:r w:rsidR="006D4B80">
        <w:rPr>
          <w:vertAlign w:val="superscript"/>
          <w:lang w:val="hr-HR"/>
        </w:rPr>
        <w:t>3,4</w:t>
      </w:r>
    </w:p>
    <w:p w14:paraId="71C2FDAC" w14:textId="6E0A7EDB" w:rsidR="00E27686" w:rsidRPr="006D4B80" w:rsidRDefault="00E27686" w:rsidP="00E27686">
      <w:pPr>
        <w:spacing w:line="360" w:lineRule="auto"/>
        <w:ind w:firstLine="360"/>
        <w:jc w:val="both"/>
        <w:rPr>
          <w:vertAlign w:val="superscript"/>
          <w:lang w:val="hr-HR"/>
        </w:rPr>
      </w:pPr>
      <w:r w:rsidRPr="00B4774C">
        <w:rPr>
          <w:lang w:val="hr-HR"/>
        </w:rPr>
        <w:t xml:space="preserve">IL-1 R2  receptor služi kao „mamac“ za interleukin-1 čime limitira njegovo djelovanje u mozgu, što </w:t>
      </w:r>
      <w:r w:rsidR="00B4774C">
        <w:rPr>
          <w:lang w:val="hr-HR"/>
        </w:rPr>
        <w:t>može imati</w:t>
      </w:r>
      <w:r w:rsidRPr="00B4774C">
        <w:rPr>
          <w:lang w:val="hr-HR"/>
        </w:rPr>
        <w:t xml:space="preserve"> štetne posljedice budući da interleukini-1 sudjeluju u odgovoru na upalne procese.</w:t>
      </w:r>
      <w:r w:rsidR="006D4B80">
        <w:rPr>
          <w:vertAlign w:val="superscript"/>
          <w:lang w:val="hr-HR"/>
        </w:rPr>
        <w:t>4</w:t>
      </w:r>
      <w:r w:rsidR="00DB62E5" w:rsidRPr="00B4774C">
        <w:rPr>
          <w:lang w:val="hr-HR"/>
        </w:rPr>
        <w:t xml:space="preserve"> IL-1R2 proteolitički se slično procesira kao i protein APP te je pokazano da u stanicama s prekomjernom ekspresijom β-sekretaze dolazi do pojačane sekrecije IL-1 R2 i </w:t>
      </w:r>
      <w:r w:rsidR="003F1FFC" w:rsidRPr="00B4774C">
        <w:rPr>
          <w:lang w:val="hr-HR"/>
        </w:rPr>
        <w:t>povišene razine CTF fragmenata koji nastaju proteolitičkim procesiranjem IL-1 R2.</w:t>
      </w:r>
      <w:r w:rsidR="006302FE">
        <w:rPr>
          <w:vertAlign w:val="superscript"/>
          <w:lang w:val="hr-HR"/>
        </w:rPr>
        <w:t>28</w:t>
      </w:r>
      <w:r w:rsidR="003F1FFC" w:rsidRPr="00B4774C">
        <w:rPr>
          <w:lang w:val="hr-HR"/>
        </w:rPr>
        <w:t xml:space="preserve"> Povišene koncentracije </w:t>
      </w:r>
      <w:r w:rsidR="00B4774C" w:rsidRPr="00B4774C">
        <w:rPr>
          <w:lang w:val="hr-HR"/>
        </w:rPr>
        <w:t>topljivog IL-1 R2 uočene kod oboljelih od Alzheimerove bolesti stoga su vrlo moguće posljedica prekomjerne ekspresije i rada β-sekretaze.</w:t>
      </w:r>
      <w:r w:rsidR="006302FE">
        <w:rPr>
          <w:vertAlign w:val="superscript"/>
          <w:lang w:val="hr-HR"/>
        </w:rPr>
        <w:t>28</w:t>
      </w:r>
      <w:r w:rsidR="00B4774C" w:rsidRPr="00B4774C">
        <w:rPr>
          <w:lang w:val="hr-HR"/>
        </w:rPr>
        <w:t xml:space="preserve"> Budući da je kod oboljelih od </w:t>
      </w:r>
      <w:r w:rsidR="00B4774C" w:rsidRPr="00B4774C">
        <w:rPr>
          <w:lang w:val="hr-HR"/>
        </w:rPr>
        <w:lastRenderedPageBreak/>
        <w:t xml:space="preserve">AD razina interleukina-1 </w:t>
      </w:r>
      <w:r w:rsidR="00B4774C">
        <w:rPr>
          <w:lang w:val="hr-HR"/>
        </w:rPr>
        <w:t xml:space="preserve">također </w:t>
      </w:r>
      <w:r w:rsidR="00B4774C" w:rsidRPr="00B4774C">
        <w:rPr>
          <w:lang w:val="hr-HR"/>
        </w:rPr>
        <w:t>povišena, pojačano procesiranje IL-1 R2 moglo bi biti potencijalni odgovor organizma na prekomjerne razine interleukina-1.</w:t>
      </w:r>
      <w:r w:rsidR="006302FE">
        <w:rPr>
          <w:vertAlign w:val="superscript"/>
          <w:lang w:val="hr-HR"/>
        </w:rPr>
        <w:t>28</w:t>
      </w:r>
    </w:p>
    <w:p w14:paraId="608AB3F5" w14:textId="77777777" w:rsidR="00FF082A" w:rsidRPr="006D4B80" w:rsidRDefault="00FF082A" w:rsidP="00E27686">
      <w:pPr>
        <w:spacing w:line="360" w:lineRule="auto"/>
        <w:ind w:firstLine="360"/>
        <w:jc w:val="both"/>
        <w:rPr>
          <w:vertAlign w:val="superscript"/>
          <w:lang w:val="hr-HR"/>
        </w:rPr>
      </w:pPr>
      <w:r>
        <w:rPr>
          <w:lang w:val="hr-HR"/>
        </w:rPr>
        <w:t xml:space="preserve">CHL1 je membranski protein tipa 1 </w:t>
      </w:r>
      <w:r w:rsidR="002C2922">
        <w:rPr>
          <w:lang w:val="hr-HR"/>
        </w:rPr>
        <w:t xml:space="preserve">koji vrši </w:t>
      </w:r>
      <w:r w:rsidR="009B297C">
        <w:rPr>
          <w:lang w:val="hr-HR"/>
        </w:rPr>
        <w:t>funkcije pri staničnoj adheziji, rastu i usmjeravanju aksona te migraciji neurona.</w:t>
      </w:r>
      <w:r w:rsidR="006D4B80">
        <w:rPr>
          <w:vertAlign w:val="superscript"/>
          <w:lang w:val="hr-HR"/>
        </w:rPr>
        <w:t>6</w:t>
      </w:r>
      <w:r w:rsidR="009B297C">
        <w:rPr>
          <w:lang w:val="hr-HR"/>
        </w:rPr>
        <w:t xml:space="preserve"> Uslijed proteolize posredovane β-sekretazama nastaje topljiva ektodomena CHL1 koja interagira s neuropilinom-1 i semaforinom 3A što rezultira usmjerenim rastom aksona.</w:t>
      </w:r>
      <w:r w:rsidR="006D4B80">
        <w:rPr>
          <w:vertAlign w:val="superscript"/>
          <w:lang w:val="hr-HR"/>
        </w:rPr>
        <w:t>15</w:t>
      </w:r>
    </w:p>
    <w:p w14:paraId="44269D3D" w14:textId="77777777" w:rsidR="001705EF" w:rsidRPr="006D4B80" w:rsidRDefault="000D39C7" w:rsidP="00E27686">
      <w:pPr>
        <w:spacing w:line="360" w:lineRule="auto"/>
        <w:ind w:firstLine="360"/>
        <w:jc w:val="both"/>
        <w:rPr>
          <w:vertAlign w:val="superscript"/>
          <w:lang w:val="hr-HR"/>
        </w:rPr>
      </w:pPr>
      <w:r>
        <w:rPr>
          <w:lang w:val="hr-HR"/>
        </w:rPr>
        <w:t>JAG1 je protein koji aktivira signalni slijed putem Notch receptora čime se regulira diferencijacija različitih tipova stanica.</w:t>
      </w:r>
      <w:r w:rsidR="006D4B80">
        <w:rPr>
          <w:vertAlign w:val="superscript"/>
          <w:lang w:val="hr-HR"/>
        </w:rPr>
        <w:t>3</w:t>
      </w:r>
      <w:r>
        <w:rPr>
          <w:lang w:val="hr-HR"/>
        </w:rPr>
        <w:t xml:space="preserve"> </w:t>
      </w:r>
      <w:r w:rsidR="001315FB">
        <w:rPr>
          <w:lang w:val="hr-HR"/>
        </w:rPr>
        <w:t>Β-sekretaza cijepa JAG1 u staničnim kulturama što potvrđuje da je riječ o njenom supstratu.</w:t>
      </w:r>
      <w:r w:rsidR="006D4B80">
        <w:rPr>
          <w:vertAlign w:val="superscript"/>
          <w:lang w:val="hr-HR"/>
        </w:rPr>
        <w:t>15</w:t>
      </w:r>
      <w:r w:rsidR="001315FB">
        <w:rPr>
          <w:lang w:val="hr-HR"/>
        </w:rPr>
        <w:t xml:space="preserve"> U ranom stadiju razvoja BACE-1 </w:t>
      </w:r>
      <w:r w:rsidR="001315FB" w:rsidRPr="00756D78">
        <w:rPr>
          <w:i/>
          <w:lang w:val="hr-HR"/>
        </w:rPr>
        <w:t>knock-out</w:t>
      </w:r>
      <w:r w:rsidR="001315FB" w:rsidRPr="00756D78">
        <w:rPr>
          <w:lang w:val="hr-HR"/>
        </w:rPr>
        <w:t xml:space="preserve"> miševa</w:t>
      </w:r>
      <w:r w:rsidR="001315FB">
        <w:rPr>
          <w:lang w:val="hr-HR"/>
        </w:rPr>
        <w:t xml:space="preserve"> Notch signalizacija je pojačana što rezultira disbalansom neurogeneze i astrogeneze, odnosno </w:t>
      </w:r>
      <w:r w:rsidR="00804F7A">
        <w:rPr>
          <w:lang w:val="hr-HR"/>
        </w:rPr>
        <w:t>smanjenom neurogenezom i upućuje na ulogu β-sekretaze pri regulaciji postnatalne neurogeneze i astrogeneze.</w:t>
      </w:r>
      <w:r w:rsidR="006D4B80">
        <w:rPr>
          <w:vertAlign w:val="superscript"/>
          <w:lang w:val="hr-HR"/>
        </w:rPr>
        <w:t>3,15</w:t>
      </w:r>
    </w:p>
    <w:p w14:paraId="186B01D5" w14:textId="77777777" w:rsidR="00E27686" w:rsidRDefault="00E27686" w:rsidP="00E27686">
      <w:pPr>
        <w:spacing w:line="360" w:lineRule="auto"/>
        <w:ind w:firstLine="360"/>
        <w:jc w:val="both"/>
        <w:rPr>
          <w:lang w:val="hr-HR"/>
        </w:rPr>
      </w:pPr>
      <w:r w:rsidRPr="00804F7A">
        <w:rPr>
          <w:lang w:val="hr-HR"/>
        </w:rPr>
        <w:t xml:space="preserve">Budući da je iz navedenog jasno vidljivo da β-sekretaze imaju brojne dodatne uloge uz procesiranje proteina APP, jasno je da se potrazi za njihovim inhibitorima treba pristupati s oprezom. Iako je pokazano da su BACE-1 </w:t>
      </w:r>
      <w:r w:rsidRPr="00804F7A">
        <w:rPr>
          <w:i/>
          <w:lang w:val="hr-HR"/>
        </w:rPr>
        <w:t xml:space="preserve">knock-out </w:t>
      </w:r>
      <w:r w:rsidRPr="00804F7A">
        <w:rPr>
          <w:lang w:val="hr-HR"/>
        </w:rPr>
        <w:t>miševi vijabilni te ne pokazuju značajne fenotipske promjene</w:t>
      </w:r>
      <w:r w:rsidR="006D4B80">
        <w:rPr>
          <w:vertAlign w:val="superscript"/>
          <w:lang w:val="hr-HR"/>
        </w:rPr>
        <w:t>4</w:t>
      </w:r>
      <w:r w:rsidRPr="00804F7A">
        <w:rPr>
          <w:lang w:val="hr-HR"/>
        </w:rPr>
        <w:t>, treba uzeti u obzir da stopostotna inhibicija nikako nije poželjna zbog potencijalnih nepoznatih uloga enzima. Stoga treba težiti optimalnoj inhibiciji koja bi rezultirala smanjenjem razina amiloida Aβ dok bi enzim i dalje bio dovoljno aktivan za vršenje ostalih uloga u organizmu.</w:t>
      </w:r>
      <w:r>
        <w:rPr>
          <w:lang w:val="hr-HR"/>
        </w:rPr>
        <w:t xml:space="preserve"> </w:t>
      </w:r>
    </w:p>
    <w:p w14:paraId="5C320598" w14:textId="77777777" w:rsidR="00A63F48" w:rsidRDefault="00A63F48">
      <w:pPr>
        <w:rPr>
          <w:lang w:val="hr-HR"/>
        </w:rPr>
        <w:sectPr w:rsidR="00A63F48" w:rsidSect="002975FB">
          <w:headerReference w:type="default" r:id="rId23"/>
          <w:pgSz w:w="11907" w:h="16840" w:code="9"/>
          <w:pgMar w:top="1701" w:right="1418" w:bottom="1701" w:left="1418" w:header="1134" w:footer="1134" w:gutter="0"/>
          <w:cols w:space="708"/>
          <w:docGrid w:linePitch="360"/>
        </w:sectPr>
      </w:pPr>
    </w:p>
    <w:p w14:paraId="060D816C" w14:textId="5818B67B" w:rsidR="00DA1AD4" w:rsidRPr="00A44071" w:rsidRDefault="00DA1AD4" w:rsidP="00734851">
      <w:pPr>
        <w:pStyle w:val="OCJENSKIRADOVI1Naslovpoglavlja"/>
        <w:numPr>
          <w:ilvl w:val="0"/>
          <w:numId w:val="3"/>
        </w:numPr>
        <w:spacing w:before="120" w:after="240"/>
      </w:pPr>
      <w:bookmarkStart w:id="18" w:name="_Toc101271719"/>
      <w:bookmarkStart w:id="19" w:name="_Hlk91509297"/>
      <w:r>
        <w:lastRenderedPageBreak/>
        <w:t>Razvoj inhibitora β-sekretaz</w:t>
      </w:r>
      <w:bookmarkEnd w:id="18"/>
      <w:r w:rsidR="00104A9C">
        <w:t>E</w:t>
      </w:r>
    </w:p>
    <w:bookmarkEnd w:id="19"/>
    <w:p w14:paraId="4F2AC09C" w14:textId="4DCAB629" w:rsidR="0055365D" w:rsidRPr="007A2417" w:rsidRDefault="00050D1D" w:rsidP="007A2417">
      <w:pPr>
        <w:spacing w:line="360" w:lineRule="auto"/>
        <w:jc w:val="both"/>
        <w:rPr>
          <w:lang w:val="hr-HR"/>
        </w:rPr>
      </w:pPr>
      <w:r>
        <w:rPr>
          <w:color w:val="212121"/>
          <w:szCs w:val="28"/>
          <w:shd w:val="clear" w:color="auto" w:fill="FFFFFF"/>
          <w:lang w:val="hr-HR"/>
        </w:rPr>
        <w:t>Sinteza prvog potentnog inhibitora β-sekretaz</w:t>
      </w:r>
      <w:r w:rsidR="00104A9C">
        <w:rPr>
          <w:color w:val="212121"/>
          <w:szCs w:val="28"/>
          <w:shd w:val="clear" w:color="auto" w:fill="FFFFFF"/>
          <w:lang w:val="hr-HR"/>
        </w:rPr>
        <w:t>e</w:t>
      </w:r>
      <w:r>
        <w:rPr>
          <w:color w:val="212121"/>
          <w:szCs w:val="28"/>
          <w:shd w:val="clear" w:color="auto" w:fill="FFFFFF"/>
          <w:lang w:val="hr-HR"/>
        </w:rPr>
        <w:t>, OM99-2, baziranog na prirodnom supstratu APP gdje je peptidna veza između Leu i Ala zamijenjena hidroksietilenskim izosterom prijelaznog stanja, pokrenula je brojna istraživanja kojima je cilj bio sinteza inhibitora s poboljšanim karakteristikama, poput vrijednosti IC</w:t>
      </w:r>
      <w:r>
        <w:rPr>
          <w:color w:val="212121"/>
          <w:szCs w:val="28"/>
          <w:shd w:val="clear" w:color="auto" w:fill="FFFFFF"/>
          <w:vertAlign w:val="subscript"/>
          <w:lang w:val="hr-HR"/>
        </w:rPr>
        <w:t>50</w:t>
      </w:r>
      <w:r>
        <w:rPr>
          <w:color w:val="212121"/>
          <w:szCs w:val="28"/>
          <w:shd w:val="clear" w:color="auto" w:fill="FFFFFF"/>
          <w:lang w:val="hr-HR"/>
        </w:rPr>
        <w:t xml:space="preserve"> koja predstavlja mjeru efikasnosti lijeka, te smanjenje molekulske mase inhibitora kako bi mogli prolaziti BBB. </w:t>
      </w:r>
      <w:r w:rsidR="0055365D">
        <w:rPr>
          <w:color w:val="212121"/>
          <w:szCs w:val="28"/>
          <w:shd w:val="clear" w:color="auto" w:fill="FFFFFF"/>
          <w:lang w:val="hr-HR"/>
        </w:rPr>
        <w:t>U ovom</w:t>
      </w:r>
      <w:r w:rsidR="0055365D">
        <w:rPr>
          <w:lang w:val="hr-HR"/>
        </w:rPr>
        <w:t xml:space="preserve"> poglavlju dan je kratki osvrt na uzročnike Alzheimerove bolesti i ulogu β-sekretaze u njenom razvoju te pregled razvoja inhibitora β-sekretaze sa svrhom tretmana Alzheimerove bolesti.</w:t>
      </w:r>
    </w:p>
    <w:p w14:paraId="362BF93D" w14:textId="649E725B" w:rsidR="0055365D" w:rsidRPr="00A4207F" w:rsidRDefault="0055365D" w:rsidP="007A2417">
      <w:pPr>
        <w:spacing w:line="360" w:lineRule="auto"/>
        <w:ind w:firstLine="720"/>
        <w:jc w:val="both"/>
        <w:rPr>
          <w:b/>
          <w:vertAlign w:val="superscript"/>
        </w:rPr>
      </w:pPr>
      <w:r w:rsidRPr="002C7B65">
        <w:t xml:space="preserve">Alzheimerova bolest </w:t>
      </w:r>
      <w:r>
        <w:t xml:space="preserve">(AD) </w:t>
      </w:r>
      <w:r w:rsidRPr="002C7B65">
        <w:t>je kronična neurodegenerativna bolest koja se manifestira postepenim gubitkom memorije i kognitivnih funkcija,</w:t>
      </w:r>
      <w:r>
        <w:t xml:space="preserve"> </w:t>
      </w:r>
      <w:r w:rsidRPr="002C7B65">
        <w:t>a kroz dulji vremenski period i poteškoćama u govoru te smanjenjem vizualno-prostornih sposobnosti.</w:t>
      </w:r>
      <w:r w:rsidR="006302FE">
        <w:rPr>
          <w:vertAlign w:val="superscript"/>
        </w:rPr>
        <w:t>29</w:t>
      </w:r>
      <w:r w:rsidRPr="005D4DB7">
        <w:t xml:space="preserve"> </w:t>
      </w:r>
      <w:r w:rsidRPr="002C7B65">
        <w:t xml:space="preserve">Bolest se razvija i napreduje starenjem </w:t>
      </w:r>
      <w:r>
        <w:t>te je prevalentna kod osoba starijih od 65 godina.</w:t>
      </w:r>
      <w:r w:rsidR="006302FE">
        <w:rPr>
          <w:vertAlign w:val="superscript"/>
        </w:rPr>
        <w:t>30</w:t>
      </w:r>
      <w:r w:rsidRPr="002418F1">
        <w:t xml:space="preserve"> </w:t>
      </w:r>
      <w:r>
        <w:t xml:space="preserve">Produljeni životni vijek zbog poboljšanih životnih uvjeta u razvijenijim zemljama i generalno starenje populacije uzrok su predviđanja da će se broj oboljelih od Alzheimerove bolesti u svijetu utrostučiti do 2050. </w:t>
      </w:r>
      <w:r w:rsidR="006302FE">
        <w:t>g</w:t>
      </w:r>
      <w:r>
        <w:t>odine</w:t>
      </w:r>
      <w:r w:rsidR="006302FE">
        <w:rPr>
          <w:vertAlign w:val="superscript"/>
        </w:rPr>
        <w:t>31</w:t>
      </w:r>
      <w:r>
        <w:t>,</w:t>
      </w:r>
      <w:r w:rsidRPr="002418F1">
        <w:t xml:space="preserve"> </w:t>
      </w:r>
      <w:r>
        <w:t>što tu bolest čini velikim opterećenjem za zdravstveni sustav te predstavlja dodatni izazov u potrazi za lijekovima koji bi tretirali bolest, ali i pomogli u suzbijanju njenog razvitka. Patofiziološki Alzheimerovu bolest karakterizira nakupljanje netopljivih plakova amiloidnih β (Aβ) peptida u izvanstaničnom prostoru te neurofibrilarnih čvorova nastalih agregacijom hiperfosforiliranih proteina tau u citoplazmi neurona. Hipoteza amiloidne kaskade je prevladavajuća teorija o nastanku Alzheimerove bolesti, a temelji se na pretpostavci da je upravo akumulacija i agregacija peptida Aβ u mozgu, kao posljedica neravnoteže između njihove produkcije i odlaganja, glavni uzročnik bolesti.</w:t>
      </w:r>
      <w:r w:rsidR="006302FE">
        <w:rPr>
          <w:vertAlign w:val="superscript"/>
        </w:rPr>
        <w:t>29</w:t>
      </w:r>
    </w:p>
    <w:p w14:paraId="50056776" w14:textId="3067C75B" w:rsidR="0055365D" w:rsidRDefault="0055365D" w:rsidP="0055365D">
      <w:pPr>
        <w:spacing w:line="360" w:lineRule="auto"/>
        <w:jc w:val="both"/>
      </w:pPr>
      <w:r>
        <w:tab/>
        <w:t>Peptidi Aβ nastaju kao posljedica enzimske proteolize proteina APP (</w:t>
      </w:r>
      <w:r w:rsidRPr="00A14878">
        <w:rPr>
          <w:i/>
          <w:u w:val="single"/>
        </w:rPr>
        <w:t>A</w:t>
      </w:r>
      <w:r w:rsidRPr="00A14878">
        <w:rPr>
          <w:i/>
        </w:rPr>
        <w:t xml:space="preserve">myloid </w:t>
      </w:r>
      <w:r w:rsidRPr="00A14878">
        <w:rPr>
          <w:i/>
          <w:u w:val="single"/>
        </w:rPr>
        <w:t>p</w:t>
      </w:r>
      <w:r w:rsidRPr="00A14878">
        <w:rPr>
          <w:i/>
        </w:rPr>
        <w:t xml:space="preserve">recursor </w:t>
      </w:r>
      <w:r w:rsidRPr="00A14878">
        <w:rPr>
          <w:i/>
          <w:u w:val="single"/>
        </w:rPr>
        <w:t>p</w:t>
      </w:r>
      <w:r w:rsidRPr="00A14878">
        <w:rPr>
          <w:i/>
        </w:rPr>
        <w:t>rotein</w:t>
      </w:r>
      <w:r>
        <w:t>) koja se odvija α-, β- i γ-sekretazama. Proteoliza α-sekretazama je najučestalija (90%) te rezultira nastankom topljivih sAPPα i CTFα fragmenata. Djelovanjem β-sekretaza (10%) nastaju sAPPβ i CTFβ fragmenti. CTFα i CTFβ (</w:t>
      </w:r>
      <w:r w:rsidRPr="00FB3F06">
        <w:rPr>
          <w:i/>
          <w:u w:val="single"/>
        </w:rPr>
        <w:t>C</w:t>
      </w:r>
      <w:r w:rsidRPr="00FB3F06">
        <w:rPr>
          <w:i/>
        </w:rPr>
        <w:t>arboxy-</w:t>
      </w:r>
      <w:r w:rsidRPr="00FB3F06">
        <w:rPr>
          <w:i/>
          <w:u w:val="single"/>
        </w:rPr>
        <w:t>t</w:t>
      </w:r>
      <w:r w:rsidRPr="00FB3F06">
        <w:rPr>
          <w:i/>
        </w:rPr>
        <w:t xml:space="preserve">erminal </w:t>
      </w:r>
      <w:r w:rsidRPr="00FB3F06">
        <w:rPr>
          <w:i/>
          <w:u w:val="single"/>
        </w:rPr>
        <w:t>f</w:t>
      </w:r>
      <w:r w:rsidRPr="00FB3F06">
        <w:rPr>
          <w:i/>
        </w:rPr>
        <w:t>ragment</w:t>
      </w:r>
      <w:r>
        <w:t xml:space="preserve">) podložni su djelovanju γ-sekretaza, pri čemu, u slučaju CTFβ, nastaju peptidi </w:t>
      </w:r>
      <w:r w:rsidRPr="002F54F6">
        <w:t>Aβ</w:t>
      </w:r>
      <w:r>
        <w:t xml:space="preserve"> različitih duljina</w:t>
      </w:r>
      <w:r>
        <w:rPr>
          <w:vertAlign w:val="superscript"/>
        </w:rPr>
        <w:t>4</w:t>
      </w:r>
      <w:r>
        <w:t xml:space="preserve"> (38 – 43 aminokiselina), među kojima su najučestaliji oni od 40 aminokiselina (Aβ40), nakon čega slijede peptidi duljine 42 aminokiseline (Aβ42).</w:t>
      </w:r>
      <w:r w:rsidR="006302FE">
        <w:rPr>
          <w:vertAlign w:val="superscript"/>
        </w:rPr>
        <w:t>29</w:t>
      </w:r>
      <w:r w:rsidRPr="002418F1">
        <w:t xml:space="preserve"> </w:t>
      </w:r>
      <w:r>
        <w:t xml:space="preserve">Proteolitička razgradnja proteina APP α-, β- i γ-sekretazama prikazana je na slici 9. Peptidi Aβ nastaju u monomernom obliku, no njihovom akumulacijom dolazi do međusobne agregacije u oligomerne forme što posljedično rezultira </w:t>
      </w:r>
      <w:r>
        <w:lastRenderedPageBreak/>
        <w:t>neurotoksičnošću.</w:t>
      </w:r>
      <w:r w:rsidR="006302FE">
        <w:rPr>
          <w:vertAlign w:val="superscript"/>
        </w:rPr>
        <w:t>29</w:t>
      </w:r>
      <w:r w:rsidR="000A3D8A">
        <w:t xml:space="preserve"> </w:t>
      </w:r>
      <w:r>
        <w:t>Također, postoje indikacije da nakupljanje peptida Aβ uzrokuje hiperfosforilaciju proteina tau i nastanak neurofibrilarnih čvorova. Proteini tau stabiliziraju stanične mikrotubule, no fosforilacijom se smanjuje njihova mogućnost vezanja na mikrotubule što može uzrokovati destabilizaciju neuronalnih citoskeleta.</w:t>
      </w:r>
      <w:r w:rsidR="006302FE">
        <w:rPr>
          <w:vertAlign w:val="superscript"/>
        </w:rPr>
        <w:t>32</w:t>
      </w:r>
      <w:r>
        <w:t xml:space="preserve"> Četiri su vodeće teorije o mehanizmima koji stoje iza hiperfosforilacije proteina tau, a čiji uzrok bi mogao biti nakupljanje peptida Aβ. </w:t>
      </w:r>
      <w:bookmarkStart w:id="20" w:name="_Hlk112322064"/>
      <w:r>
        <w:t>Peptidi Aβ aktiviraju nekoliko kinaza, među kojima su CDK5 (</w:t>
      </w:r>
      <w:r w:rsidRPr="00E74418">
        <w:rPr>
          <w:i/>
        </w:rPr>
        <w:t>cyclin-dependent kinase 5</w:t>
      </w:r>
      <w:r>
        <w:t>)</w:t>
      </w:r>
      <w:r w:rsidRPr="00776801">
        <w:t xml:space="preserve"> i </w:t>
      </w:r>
      <w:r w:rsidRPr="00E74418">
        <w:t>GSK3β (</w:t>
      </w:r>
      <w:r>
        <w:t>kinaza glikogen sintaze</w:t>
      </w:r>
      <w:r w:rsidRPr="00E74418">
        <w:t>)</w:t>
      </w:r>
      <w:r>
        <w:t>, dvije vodeće kinaze u fosforilaciji proteina tau. Nadalje, akumulacija Aβ uzrokuje aktivaciju mikroglija stanica i astrocita, što potiče otpuštanje proupalnih citokina, koji zatim stimuliraju kinaze i fosforilaciju proteina tau. Također, peptidi Aβ mogu interagirati s proteasomom i na taj način inhibirati razgradnju proteina tau. Posljednja teorija pretpostavlja da Aβ aktivacijom kinaze GSK3β prekida vezikularni prijenos tau mRNA i proteina, što rezultira pogrešnom lokalizacijom proteina tau.</w:t>
      </w:r>
      <w:bookmarkEnd w:id="20"/>
      <w:r>
        <w:rPr>
          <w:vertAlign w:val="superscript"/>
        </w:rPr>
        <w:t>3</w:t>
      </w:r>
      <w:r w:rsidR="00FC0B56">
        <w:rPr>
          <w:vertAlign w:val="superscript"/>
        </w:rPr>
        <w:t>2</w:t>
      </w:r>
      <w:r>
        <w:rPr>
          <w:vertAlign w:val="superscript"/>
        </w:rPr>
        <w:t xml:space="preserve"> </w:t>
      </w:r>
      <w:r>
        <w:t>Zbog navedenih brojnih uloga peptida Aβ u razvoju i patologiji Alzheimerove bolesti, kao i slutnji da je upravo djelovanje β-sekretaza limitirajući korak za nastanak peptida Aβ</w:t>
      </w:r>
      <w:r w:rsidR="006302FE">
        <w:rPr>
          <w:vertAlign w:val="superscript"/>
        </w:rPr>
        <w:t>33</w:t>
      </w:r>
      <w:r>
        <w:t xml:space="preserve">, β-sekretaze postale su glavna meta dugogodišnjih nastojanja da se razvije lijek za ovu sve </w:t>
      </w:r>
      <w:r w:rsidR="006302FE">
        <w:rPr>
          <w:noProof/>
        </w:rPr>
        <w:drawing>
          <wp:anchor distT="0" distB="0" distL="114300" distR="114300" simplePos="0" relativeHeight="251668992" behindDoc="0" locked="0" layoutInCell="1" allowOverlap="1" wp14:anchorId="534B9029" wp14:editId="7726F667">
            <wp:simplePos x="0" y="0"/>
            <wp:positionH relativeFrom="margin">
              <wp:align>center</wp:align>
            </wp:positionH>
            <wp:positionV relativeFrom="paragraph">
              <wp:posOffset>4137996</wp:posOffset>
            </wp:positionV>
            <wp:extent cx="6390005" cy="35306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žžžžžž.PNG"/>
                    <pic:cNvPicPr/>
                  </pic:nvPicPr>
                  <pic:blipFill>
                    <a:blip r:embed="rId24"/>
                    <a:stretch>
                      <a:fillRect/>
                    </a:stretch>
                  </pic:blipFill>
                  <pic:spPr>
                    <a:xfrm>
                      <a:off x="0" y="0"/>
                      <a:ext cx="6390005" cy="3530600"/>
                    </a:xfrm>
                    <a:prstGeom prst="rect">
                      <a:avLst/>
                    </a:prstGeom>
                  </pic:spPr>
                </pic:pic>
              </a:graphicData>
            </a:graphic>
            <wp14:sizeRelH relativeFrom="page">
              <wp14:pctWidth>0</wp14:pctWidth>
            </wp14:sizeRelH>
            <wp14:sizeRelV relativeFrom="page">
              <wp14:pctHeight>0</wp14:pctHeight>
            </wp14:sizeRelV>
          </wp:anchor>
        </w:drawing>
      </w:r>
      <w:r>
        <w:t>prisutniju bolest.</w:t>
      </w:r>
    </w:p>
    <w:p w14:paraId="7A5EEC96" w14:textId="2D44DCD8" w:rsidR="0055365D" w:rsidRPr="00C92CC4" w:rsidRDefault="0055365D" w:rsidP="0055365D">
      <w:pPr>
        <w:spacing w:line="360" w:lineRule="auto"/>
        <w:jc w:val="center"/>
      </w:pPr>
      <w:r>
        <w:t xml:space="preserve">Slika 9. </w:t>
      </w:r>
      <w:bookmarkStart w:id="21" w:name="_Hlk112334283"/>
      <w:r>
        <w:t xml:space="preserve">Razgradnja proteina APP djelovanjem α-, β- i γ-sekretaza. (preuzeto i prilagođeno iz reference </w:t>
      </w:r>
      <w:r w:rsidR="006302FE">
        <w:rPr>
          <w:b/>
        </w:rPr>
        <w:t>34</w:t>
      </w:r>
      <w:r>
        <w:t>)</w:t>
      </w:r>
      <w:bookmarkEnd w:id="21"/>
    </w:p>
    <w:p w14:paraId="26A724B7" w14:textId="6E4FDFBE" w:rsidR="0055365D" w:rsidRPr="0055365D" w:rsidRDefault="00817D5E" w:rsidP="0055365D">
      <w:pPr>
        <w:pStyle w:val="OCJENSKIRADOVI2Podnaslovpoglavlja"/>
      </w:pPr>
      <w:bookmarkStart w:id="22" w:name="_Toc101271720"/>
      <w:r>
        <w:lastRenderedPageBreak/>
        <w:t>Inhibicija β-sekretaze</w:t>
      </w:r>
      <w:bookmarkEnd w:id="22"/>
    </w:p>
    <w:p w14:paraId="75383B72" w14:textId="26E2936F" w:rsidR="0055365D" w:rsidRDefault="0055365D" w:rsidP="0055365D">
      <w:pPr>
        <w:spacing w:line="360" w:lineRule="auto"/>
        <w:jc w:val="both"/>
        <w:rPr>
          <w:color w:val="212121"/>
          <w:szCs w:val="28"/>
          <w:shd w:val="clear" w:color="auto" w:fill="FFFFFF"/>
          <w:lang w:val="hr-HR"/>
        </w:rPr>
      </w:pPr>
      <w:r>
        <w:rPr>
          <w:color w:val="212121"/>
          <w:szCs w:val="28"/>
          <w:shd w:val="clear" w:color="auto" w:fill="FFFFFF"/>
          <w:lang w:val="hr-HR"/>
        </w:rPr>
        <w:t>Hipoteza amiloidne kaskade, koja kao glavni uzročnik Alzheimerove bolesti pretpostavlja nakupljanje i agregaciju peptida Aβ, potaknula je potragu za mogućim inhibitorima produkcije peptida Aβ kao potencijalnim lijekovima za sprječavanje i tretiranje Alzheimerove bolesti.</w:t>
      </w:r>
      <w:r w:rsidR="006302FE">
        <w:rPr>
          <w:color w:val="212121"/>
          <w:szCs w:val="28"/>
          <w:shd w:val="clear" w:color="auto" w:fill="FFFFFF"/>
          <w:vertAlign w:val="superscript"/>
          <w:lang w:val="hr-HR"/>
        </w:rPr>
        <w:t>35</w:t>
      </w:r>
      <w:r>
        <w:rPr>
          <w:color w:val="212121"/>
          <w:szCs w:val="28"/>
          <w:shd w:val="clear" w:color="auto" w:fill="FFFFFF"/>
          <w:lang w:val="hr-HR"/>
        </w:rPr>
        <w:t xml:space="preserve"> Godinama se tragalo za inhibitorom γ-sekretaze čije proteazno djelovanje na peptide CTFβ rezultira nastankom amiloidnih peptida Aβ, no zajednička osobina kandidata koji su ušli u klinička istraživanja bila je njihova izrazita toksičnost. Toksičnost tih inhibitora posljedica je brojnih fizioloških uloga γ-sekretaze čija inhibicija ima vrlo negativne posljedice za mehanizam.</w:t>
      </w:r>
      <w:r w:rsidR="006302FE">
        <w:rPr>
          <w:color w:val="212121"/>
          <w:szCs w:val="28"/>
          <w:shd w:val="clear" w:color="auto" w:fill="FFFFFF"/>
          <w:vertAlign w:val="superscript"/>
          <w:lang w:val="hr-HR"/>
        </w:rPr>
        <w:t>35</w:t>
      </w:r>
      <w:r>
        <w:rPr>
          <w:color w:val="212121"/>
          <w:szCs w:val="28"/>
          <w:shd w:val="clear" w:color="auto" w:fill="FFFFFF"/>
          <w:lang w:val="hr-HR"/>
        </w:rPr>
        <w:t xml:space="preserve"> γ-sekretaze igraju ulogu </w:t>
      </w:r>
      <w:r>
        <w:rPr>
          <w:i/>
          <w:color w:val="212121"/>
          <w:szCs w:val="28"/>
          <w:shd w:val="clear" w:color="auto" w:fill="FFFFFF"/>
          <w:lang w:val="hr-HR"/>
        </w:rPr>
        <w:t xml:space="preserve">housekeeping </w:t>
      </w:r>
      <w:r>
        <w:rPr>
          <w:color w:val="212121"/>
          <w:szCs w:val="28"/>
          <w:shd w:val="clear" w:color="auto" w:fill="FFFFFF"/>
          <w:lang w:val="hr-HR"/>
        </w:rPr>
        <w:t>enzima koji uklanja brojne proteinske fragmente asocirane s membranama koji nastaju kao rezultat djelovanja membranskih proteaza poput α- i β- sekretaza. Uz to, γ-sekretaze imaju i druge uloge, poput sudjelovanja u signalnom slijedu proteina Notch. Iz tog razloga, njihova inhibicija nije poželjna za organizam.</w:t>
      </w:r>
      <w:r w:rsidR="006302FE">
        <w:rPr>
          <w:color w:val="212121"/>
          <w:szCs w:val="28"/>
          <w:shd w:val="clear" w:color="auto" w:fill="FFFFFF"/>
          <w:vertAlign w:val="superscript"/>
          <w:lang w:val="hr-HR"/>
        </w:rPr>
        <w:t>35</w:t>
      </w:r>
      <w:r>
        <w:rPr>
          <w:color w:val="212121"/>
          <w:szCs w:val="28"/>
          <w:shd w:val="clear" w:color="auto" w:fill="FFFFFF"/>
          <w:lang w:val="hr-HR"/>
        </w:rPr>
        <w:t xml:space="preserve"> S druge strane, inhibicija β-sekretaza ne rezultira teškim posljedicama kao što je viđeno kod inhibicije γ-sekretaza. Delecija gena koji kodira β-sekretazu kod miševa rezultirala je značajnim smanjenjem razine Aβ, uz manje fenotipske abnormalnosti. Narušenost sposobnosti učenja i memorije kod BACE1 </w:t>
      </w:r>
      <w:r w:rsidRPr="00D66226">
        <w:rPr>
          <w:i/>
          <w:color w:val="212121"/>
          <w:szCs w:val="28"/>
          <w:shd w:val="clear" w:color="auto" w:fill="FFFFFF"/>
          <w:lang w:val="hr-HR"/>
        </w:rPr>
        <w:t>knockout</w:t>
      </w:r>
      <w:r>
        <w:rPr>
          <w:color w:val="212121"/>
          <w:szCs w:val="28"/>
          <w:shd w:val="clear" w:color="auto" w:fill="FFFFFF"/>
          <w:lang w:val="hr-HR"/>
        </w:rPr>
        <w:t xml:space="preserve"> miševa je slaba, a iako β-sekretaza ima ulogu u formaciji mijelinske ovojnice centralnih i perifernih živaca, ta aktivnost je uočena samo u prenatalnoj fazi te inhibicija enzima za ovaj slučaj ne bi trebala imati posljedice kod pacijenata starije životne dobi.</w:t>
      </w:r>
      <w:r w:rsidR="006302FE">
        <w:rPr>
          <w:color w:val="212121"/>
          <w:szCs w:val="28"/>
          <w:shd w:val="clear" w:color="auto" w:fill="FFFFFF"/>
          <w:vertAlign w:val="superscript"/>
          <w:lang w:val="hr-HR"/>
        </w:rPr>
        <w:t>35</w:t>
      </w:r>
      <w:r>
        <w:rPr>
          <w:color w:val="212121"/>
          <w:szCs w:val="28"/>
          <w:shd w:val="clear" w:color="auto" w:fill="FFFFFF"/>
          <w:lang w:val="hr-HR"/>
        </w:rPr>
        <w:t xml:space="preserve"> </w:t>
      </w:r>
    </w:p>
    <w:p w14:paraId="094D82BF" w14:textId="3E81A8D6" w:rsidR="0055365D" w:rsidRPr="008A0F0D" w:rsidRDefault="0055365D" w:rsidP="0055365D">
      <w:pPr>
        <w:spacing w:line="360" w:lineRule="auto"/>
        <w:ind w:firstLine="360"/>
        <w:jc w:val="both"/>
        <w:rPr>
          <w:vertAlign w:val="superscript"/>
          <w:lang w:val="hr-HR"/>
        </w:rPr>
      </w:pPr>
      <w:r>
        <w:rPr>
          <w:color w:val="212121"/>
          <w:szCs w:val="28"/>
          <w:shd w:val="clear" w:color="auto" w:fill="FFFFFF"/>
          <w:lang w:val="hr-HR"/>
        </w:rPr>
        <w:t>Ključna zapreka pri sintezi farmakološki aktivnih inhibitora za tretman neurodegenerativnih bolesti je njihov prolazak kroz krvno-moždanu barijeru (</w:t>
      </w:r>
      <w:r w:rsidRPr="00F664BA">
        <w:rPr>
          <w:i/>
        </w:rPr>
        <w:t>blood–brain barrier</w:t>
      </w:r>
      <w:r>
        <w:t>, BBB).</w:t>
      </w:r>
      <w:r w:rsidR="006302FE">
        <w:rPr>
          <w:vertAlign w:val="superscript"/>
        </w:rPr>
        <w:t>35</w:t>
      </w:r>
      <w:r>
        <w:t xml:space="preserve"> Krvno-moždanu barijeru čine gusto pakirane endotelne stanice koje se nalaze u asocijaciji s drugim stanicama poput </w:t>
      </w:r>
      <w:r>
        <w:rPr>
          <w:lang w:val="hr-HR"/>
        </w:rPr>
        <w:t>astrocita, pericita i cerebralnih makrofaga. Zbog njihovih interakcija prolazak tvari u ekstracelularnu tekućinu središnjeg živčanog sustava (SŽS) je strogo ograničen. Prolazak kroz BBB moguć je za tvari molekulske mase do 500 Da, dok je tvarima molekulske mase od 500 do 800 Da prolazak ograničen.</w:t>
      </w:r>
      <w:r w:rsidR="006302FE">
        <w:rPr>
          <w:vertAlign w:val="superscript"/>
          <w:lang w:val="hr-HR"/>
        </w:rPr>
        <w:t>36</w:t>
      </w:r>
      <w:r>
        <w:rPr>
          <w:lang w:val="hr-HR"/>
        </w:rPr>
        <w:t xml:space="preserve"> Većina lijekova su slabe kiseline ili baze. Polarne i ionizirane strukture su hidrofilne i vežu molekule vode što otežava njihovu difuziju kroz nepolarne lipidne membrane. Lipofilnost, odnosno sposobnost prolaska kroz hidrofobne domene staničnih membrana također je važna karakteristika lijekova. Infekcije i upale mogu uzrokovati promjenu pH krvi i cerebrospinalne tekućine (</w:t>
      </w:r>
      <w:r w:rsidRPr="00DD2531">
        <w:rPr>
          <w:i/>
          <w:lang w:val="hr-HR"/>
        </w:rPr>
        <w:t>cerebrospinal fluid</w:t>
      </w:r>
      <w:r>
        <w:rPr>
          <w:lang w:val="hr-HR"/>
        </w:rPr>
        <w:t xml:space="preserve">, CSF) što može utjecati na ulazak i akumulaciju lijekova u SŽS. Afinitet lijekova za vezanje na proteine krvne plazme je bitan faktor za učinkovitost tretmana jer, za razliku od slobodnih molekula, molekule </w:t>
      </w:r>
      <w:r>
        <w:rPr>
          <w:lang w:val="hr-HR"/>
        </w:rPr>
        <w:lastRenderedPageBreak/>
        <w:t>s vezanim proteinima imaju ograničen potencijal za ulazak u SŽS. ABC transporteri (</w:t>
      </w:r>
      <w:r w:rsidRPr="006902BC">
        <w:rPr>
          <w:i/>
          <w:lang w:val="hr-HR"/>
        </w:rPr>
        <w:t>ATP-binding cassette transporters</w:t>
      </w:r>
      <w:r>
        <w:rPr>
          <w:lang w:val="hr-HR"/>
        </w:rPr>
        <w:t>), poput P-glikoproteina (PGP), koji se nalaze u BBB također utječu na ulazak lijekova u SŽS. PGP je nespecifični transporter čija uloga je sprječavanje akumulacije toksina u organizmu te potpomaganje njihove eliminacije te njegovo djelovanje ograničava prolazak lijekova u SŽS.</w:t>
      </w:r>
      <w:r w:rsidR="00035AAE">
        <w:rPr>
          <w:vertAlign w:val="superscript"/>
          <w:lang w:val="hr-HR"/>
        </w:rPr>
        <w:t>36</w:t>
      </w:r>
    </w:p>
    <w:p w14:paraId="7D9D9673" w14:textId="329D0373" w:rsidR="0055365D" w:rsidRPr="008A0F0D" w:rsidRDefault="0055365D" w:rsidP="0055365D">
      <w:pPr>
        <w:spacing w:line="360" w:lineRule="auto"/>
        <w:ind w:firstLine="360"/>
        <w:jc w:val="both"/>
        <w:rPr>
          <w:vertAlign w:val="superscript"/>
          <w:lang w:val="hr-HR"/>
        </w:rPr>
      </w:pPr>
      <w:r>
        <w:rPr>
          <w:color w:val="212121"/>
          <w:szCs w:val="28"/>
          <w:shd w:val="clear" w:color="auto" w:fill="FFFFFF"/>
          <w:lang w:val="hr-HR"/>
        </w:rPr>
        <w:t>Osim navedenih ograničenja, inhibitori β-sekretaza trebaju biti selektivni kako ne bi utjecali na aktivnost ostalih aspartičnih proteaza. BACE-2 (</w:t>
      </w:r>
      <w:r w:rsidRPr="0014402B">
        <w:rPr>
          <w:i/>
        </w:rPr>
        <w:t>β-Site APP clea</w:t>
      </w:r>
      <w:r>
        <w:rPr>
          <w:i/>
        </w:rPr>
        <w:t>v</w:t>
      </w:r>
      <w:r w:rsidRPr="0014402B">
        <w:rPr>
          <w:i/>
        </w:rPr>
        <w:t>ing enzyme</w:t>
      </w:r>
      <w:r>
        <w:t xml:space="preserve"> 2) je homolog β-sekretaza (BACE-1) </w:t>
      </w:r>
      <w:r>
        <w:rPr>
          <w:lang w:val="hr-HR"/>
        </w:rPr>
        <w:t>čije aktivno mjesto pokazuje sličan obrazac interakcija kao i aktivno mjesto β-sekretaza. Budući da se BACE-2 također nalaze u mozgu, a njihova fiziološka uloga nije dobro proučena, potencijalni inhibitori β-sekretaza trebali bi biti selektivni kako ne bi interferirali s njihovim funkcijama. Katepsin D aspartična je proteaza koja se nalazi u lizosomima i endosomima te igra važnu ulogu u katabolizmu proteina te funkciji mrežnice oka. Budući da je prisutan u velikim količinama, neselektivni inhibitori primarno bi mogli inhibirati njega umjesto β-sekretazu, te osim što bi se smanjio učinak inhibicije β-sekretaze, moglo bi doći do poremećaja razgradnje proteina u stanicama.</w:t>
      </w:r>
      <w:r w:rsidR="00035AAE">
        <w:rPr>
          <w:vertAlign w:val="superscript"/>
          <w:lang w:val="hr-HR"/>
        </w:rPr>
        <w:t>35</w:t>
      </w:r>
    </w:p>
    <w:p w14:paraId="21A1BB68" w14:textId="77777777" w:rsidR="0055365D" w:rsidRPr="008A4659" w:rsidRDefault="0055365D" w:rsidP="008A4659">
      <w:pPr>
        <w:spacing w:line="360" w:lineRule="auto"/>
        <w:jc w:val="both"/>
        <w:rPr>
          <w:color w:val="212121"/>
          <w:szCs w:val="28"/>
          <w:shd w:val="clear" w:color="auto" w:fill="FFFFFF"/>
          <w:lang w:val="hr-HR"/>
        </w:rPr>
      </w:pPr>
    </w:p>
    <w:p w14:paraId="549F418C" w14:textId="77777777" w:rsidR="00050D1D" w:rsidRPr="00B16102" w:rsidRDefault="00050D1D" w:rsidP="00050D1D">
      <w:pPr>
        <w:pStyle w:val="OCJENSKIRADOVI2Podnaslovpoglavlja"/>
      </w:pPr>
      <w:bookmarkStart w:id="23" w:name="_Hlk91507770"/>
      <w:bookmarkStart w:id="24" w:name="_Toc101271721"/>
      <w:r>
        <w:t>Pseudopeptidni inhibitori</w:t>
      </w:r>
      <w:bookmarkEnd w:id="23"/>
      <w:bookmarkEnd w:id="24"/>
    </w:p>
    <w:p w14:paraId="7CA27D9C" w14:textId="75DB98E2" w:rsidR="00050D1D" w:rsidRDefault="00050D1D" w:rsidP="00050D1D">
      <w:pPr>
        <w:spacing w:line="360" w:lineRule="auto"/>
        <w:jc w:val="both"/>
        <w:rPr>
          <w:lang w:val="hr-HR"/>
        </w:rPr>
      </w:pPr>
      <w:r>
        <w:rPr>
          <w:color w:val="212121"/>
          <w:szCs w:val="28"/>
          <w:shd w:val="clear" w:color="auto" w:fill="FFFFFF"/>
          <w:lang w:val="hr-HR"/>
        </w:rPr>
        <w:t xml:space="preserve">Pseudopeptidni inhibitori oponašaju prirodni supstrat, a zamjenom bočnih ogranaka priređeni su razni potentni inhibitori β-sekretaza. Derivat gama-aminokiseline statina prikazan na slici </w:t>
      </w:r>
      <w:r w:rsidR="00035AAE">
        <w:rPr>
          <w:color w:val="212121"/>
          <w:szCs w:val="28"/>
          <w:shd w:val="clear" w:color="auto" w:fill="FFFFFF"/>
          <w:lang w:val="hr-HR"/>
        </w:rPr>
        <w:t>10</w:t>
      </w:r>
      <w:r>
        <w:rPr>
          <w:color w:val="212121"/>
          <w:szCs w:val="28"/>
          <w:shd w:val="clear" w:color="auto" w:fill="FFFFFF"/>
          <w:lang w:val="hr-HR"/>
        </w:rPr>
        <w:t xml:space="preserve"> je permeabilan inhibitor koji uspješno zaustavlja nastanak Aβ u HEK-293 stanicama (</w:t>
      </w:r>
      <w:r w:rsidRPr="008904FB">
        <w:rPr>
          <w:i/>
        </w:rPr>
        <w:t>human embryonic kidney cells</w:t>
      </w:r>
      <w:r>
        <w:t xml:space="preserve">). Inhibitor prikazan na slici </w:t>
      </w:r>
      <w:r w:rsidR="00CD2D77">
        <w:t>1</w:t>
      </w:r>
      <w:r w:rsidR="00035AAE">
        <w:t>1</w:t>
      </w:r>
      <w:r>
        <w:t xml:space="preserve"> </w:t>
      </w:r>
      <w:r>
        <w:rPr>
          <w:lang w:val="hr-HR"/>
        </w:rPr>
        <w:t xml:space="preserve">sadrži fenilnorstatin kao izoster prijelaznog stanja, a uvođenjem 5-fluoroorotilne skupine na poziciji P4 i </w:t>
      </w:r>
      <w:r>
        <w:t xml:space="preserve">L-cikloheksilalanina na poziciji P2 </w:t>
      </w:r>
      <w:r>
        <w:rPr>
          <w:lang w:val="hr-HR"/>
        </w:rPr>
        <w:t>rezultiralo 84%</w:t>
      </w:r>
      <w:r w:rsidR="00D46A98">
        <w:rPr>
          <w:lang w:val="hr-HR"/>
        </w:rPr>
        <w:t xml:space="preserve">-tnom </w:t>
      </w:r>
      <w:r>
        <w:rPr>
          <w:lang w:val="hr-HR"/>
        </w:rPr>
        <w:t>inhibicij</w:t>
      </w:r>
      <w:r w:rsidR="00D46A98">
        <w:rPr>
          <w:lang w:val="hr-HR"/>
        </w:rPr>
        <w:t>om</w:t>
      </w:r>
      <w:r>
        <w:rPr>
          <w:lang w:val="hr-HR"/>
        </w:rPr>
        <w:t xml:space="preserve"> aktivnosti β-sekretaz</w:t>
      </w:r>
      <w:r w:rsidR="00D46A98">
        <w:rPr>
          <w:lang w:val="hr-HR"/>
        </w:rPr>
        <w:t>e</w:t>
      </w:r>
      <w:r>
        <w:rPr>
          <w:lang w:val="hr-HR"/>
        </w:rPr>
        <w:t xml:space="preserve"> u staničnoj kulturi. Inhibitori β-sekretaza koji sadrže </w:t>
      </w:r>
      <w:r w:rsidRPr="00ED29B9">
        <w:rPr>
          <w:i/>
          <w:lang w:val="hr-HR"/>
        </w:rPr>
        <w:t>terc</w:t>
      </w:r>
      <w:r>
        <w:rPr>
          <w:lang w:val="hr-HR"/>
        </w:rPr>
        <w:t xml:space="preserve">-hidroksilnu skupinu doveli su do otkrića novog načina vezanja inhibitora u kojem </w:t>
      </w:r>
      <w:r w:rsidRPr="00C14CDD">
        <w:rPr>
          <w:i/>
          <w:lang w:val="hr-HR"/>
        </w:rPr>
        <w:t>N</w:t>
      </w:r>
      <w:r>
        <w:rPr>
          <w:lang w:val="hr-HR"/>
        </w:rPr>
        <w:t xml:space="preserve">-terminalni amin predstavlja izoster prijelaznog stanja (primjer na slici </w:t>
      </w:r>
      <w:r w:rsidR="00CD2D77">
        <w:rPr>
          <w:lang w:val="hr-HR"/>
        </w:rPr>
        <w:t>1</w:t>
      </w:r>
      <w:r w:rsidR="00035AAE">
        <w:rPr>
          <w:lang w:val="hr-HR"/>
        </w:rPr>
        <w:t>2</w:t>
      </w:r>
      <w:r>
        <w:rPr>
          <w:lang w:val="hr-HR"/>
        </w:rPr>
        <w:t>).</w:t>
      </w:r>
      <w:r w:rsidR="00A4207F">
        <w:rPr>
          <w:vertAlign w:val="superscript"/>
          <w:lang w:val="hr-HR"/>
        </w:rPr>
        <w:t>3</w:t>
      </w:r>
      <w:r w:rsidR="00035AAE">
        <w:rPr>
          <w:vertAlign w:val="superscript"/>
          <w:lang w:val="hr-HR"/>
        </w:rPr>
        <w:t>7</w:t>
      </w:r>
      <w:r w:rsidRPr="00CD2D77">
        <w:rPr>
          <w:lang w:val="hr-HR"/>
        </w:rPr>
        <w:t xml:space="preserve"> </w:t>
      </w:r>
      <w:r>
        <w:rPr>
          <w:lang w:val="hr-HR"/>
        </w:rPr>
        <w:t>U nastavku</w:t>
      </w:r>
      <w:r w:rsidR="00AD2903">
        <w:rPr>
          <w:lang w:val="hr-HR"/>
        </w:rPr>
        <w:t xml:space="preserve"> teksta</w:t>
      </w:r>
      <w:r>
        <w:rPr>
          <w:lang w:val="hr-HR"/>
        </w:rPr>
        <w:t xml:space="preserve"> </w:t>
      </w:r>
      <w:r w:rsidR="00AD2903">
        <w:rPr>
          <w:lang w:val="hr-HR"/>
        </w:rPr>
        <w:t>navedene su</w:t>
      </w:r>
      <w:r>
        <w:rPr>
          <w:lang w:val="hr-HR"/>
        </w:rPr>
        <w:t xml:space="preserve"> neke podvrste pseudopeptidnih inhibitora.</w:t>
      </w:r>
    </w:p>
    <w:p w14:paraId="00B9BD24" w14:textId="77777777" w:rsidR="00D076D0" w:rsidRDefault="00D076D0" w:rsidP="00050D1D">
      <w:pPr>
        <w:spacing w:line="360" w:lineRule="auto"/>
        <w:jc w:val="both"/>
        <w:rPr>
          <w:lang w:val="hr-HR"/>
        </w:rPr>
      </w:pPr>
    </w:p>
    <w:p w14:paraId="7099BE1B" w14:textId="77777777" w:rsidR="00050D1D" w:rsidRDefault="00D076D0" w:rsidP="00050D1D">
      <w:pPr>
        <w:spacing w:line="360" w:lineRule="auto"/>
        <w:ind w:left="360"/>
        <w:jc w:val="center"/>
        <w:rPr>
          <w:color w:val="212121"/>
          <w:szCs w:val="28"/>
          <w:shd w:val="clear" w:color="auto" w:fill="FFFFFF"/>
          <w:lang w:val="hr-HR"/>
        </w:rPr>
      </w:pPr>
      <w:r>
        <w:rPr>
          <w:noProof/>
          <w:color w:val="212121"/>
          <w:szCs w:val="28"/>
          <w:shd w:val="clear" w:color="auto" w:fill="FFFFFF"/>
          <w:lang w:val="hr-HR"/>
        </w:rPr>
        <w:lastRenderedPageBreak/>
        <w:drawing>
          <wp:inline distT="0" distB="0" distL="0" distR="0" wp14:anchorId="619B3D26" wp14:editId="1B85CC40">
            <wp:extent cx="4724400" cy="197389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rivat_norstatin.PNG"/>
                    <pic:cNvPicPr/>
                  </pic:nvPicPr>
                  <pic:blipFill>
                    <a:blip r:embed="rId25"/>
                    <a:stretch>
                      <a:fillRect/>
                    </a:stretch>
                  </pic:blipFill>
                  <pic:spPr>
                    <a:xfrm>
                      <a:off x="0" y="0"/>
                      <a:ext cx="4752369" cy="1985579"/>
                    </a:xfrm>
                    <a:prstGeom prst="rect">
                      <a:avLst/>
                    </a:prstGeom>
                  </pic:spPr>
                </pic:pic>
              </a:graphicData>
            </a:graphic>
          </wp:inline>
        </w:drawing>
      </w:r>
    </w:p>
    <w:p w14:paraId="551EFC35" w14:textId="00F382A1" w:rsidR="00050D1D" w:rsidRDefault="00050D1D" w:rsidP="00050D1D">
      <w:pPr>
        <w:spacing w:line="360" w:lineRule="auto"/>
        <w:ind w:left="360"/>
        <w:jc w:val="center"/>
        <w:rPr>
          <w:color w:val="212121"/>
          <w:szCs w:val="28"/>
          <w:shd w:val="clear" w:color="auto" w:fill="FFFFFF"/>
          <w:lang w:val="hr-HR"/>
        </w:rPr>
      </w:pPr>
      <w:r>
        <w:rPr>
          <w:color w:val="212121"/>
          <w:szCs w:val="28"/>
          <w:shd w:val="clear" w:color="auto" w:fill="FFFFFF"/>
          <w:lang w:val="hr-HR"/>
        </w:rPr>
        <w:t xml:space="preserve">Slika </w:t>
      </w:r>
      <w:r w:rsidR="00035AAE">
        <w:rPr>
          <w:color w:val="212121"/>
          <w:szCs w:val="28"/>
          <w:shd w:val="clear" w:color="auto" w:fill="FFFFFF"/>
          <w:lang w:val="hr-HR"/>
        </w:rPr>
        <w:t>10</w:t>
      </w:r>
      <w:r>
        <w:rPr>
          <w:color w:val="212121"/>
          <w:szCs w:val="28"/>
          <w:shd w:val="clear" w:color="auto" w:fill="FFFFFF"/>
          <w:lang w:val="hr-HR"/>
        </w:rPr>
        <w:t>. Inhibitor β-sekretaze baziran na statinu. (</w:t>
      </w:r>
      <w:r w:rsidR="00D076D0">
        <w:rPr>
          <w:color w:val="212121"/>
          <w:szCs w:val="28"/>
          <w:shd w:val="clear" w:color="auto" w:fill="FFFFFF"/>
          <w:lang w:val="hr-HR"/>
        </w:rPr>
        <w:t xml:space="preserve">preuzeto iz </w:t>
      </w:r>
      <w:r>
        <w:rPr>
          <w:color w:val="212121"/>
          <w:szCs w:val="28"/>
          <w:shd w:val="clear" w:color="auto" w:fill="FFFFFF"/>
          <w:lang w:val="hr-HR"/>
        </w:rPr>
        <w:t>referenc</w:t>
      </w:r>
      <w:r w:rsidR="00D076D0">
        <w:rPr>
          <w:color w:val="212121"/>
          <w:szCs w:val="28"/>
          <w:shd w:val="clear" w:color="auto" w:fill="FFFFFF"/>
          <w:lang w:val="hr-HR"/>
        </w:rPr>
        <w:t>e</w:t>
      </w:r>
      <w:r>
        <w:rPr>
          <w:color w:val="212121"/>
          <w:szCs w:val="28"/>
          <w:shd w:val="clear" w:color="auto" w:fill="FFFFFF"/>
          <w:lang w:val="hr-HR"/>
        </w:rPr>
        <w:t xml:space="preserve"> </w:t>
      </w:r>
      <w:r w:rsidR="00D076D0">
        <w:rPr>
          <w:b/>
          <w:color w:val="212121"/>
          <w:szCs w:val="28"/>
          <w:shd w:val="clear" w:color="auto" w:fill="FFFFFF"/>
          <w:lang w:val="hr-HR"/>
        </w:rPr>
        <w:t>3</w:t>
      </w:r>
      <w:r w:rsidR="00035AAE">
        <w:rPr>
          <w:b/>
          <w:color w:val="212121"/>
          <w:szCs w:val="28"/>
          <w:shd w:val="clear" w:color="auto" w:fill="FFFFFF"/>
          <w:lang w:val="hr-HR"/>
        </w:rPr>
        <w:t>7</w:t>
      </w:r>
      <w:r>
        <w:rPr>
          <w:color w:val="212121"/>
          <w:szCs w:val="28"/>
          <w:shd w:val="clear" w:color="auto" w:fill="FFFFFF"/>
          <w:lang w:val="hr-HR"/>
        </w:rPr>
        <w:t>)</w:t>
      </w:r>
    </w:p>
    <w:p w14:paraId="20BE5FF0" w14:textId="77777777" w:rsidR="00050D1D" w:rsidRDefault="00050D1D" w:rsidP="00050D1D">
      <w:pPr>
        <w:spacing w:line="360" w:lineRule="auto"/>
        <w:ind w:left="360"/>
        <w:jc w:val="center"/>
        <w:rPr>
          <w:color w:val="212121"/>
          <w:szCs w:val="28"/>
          <w:shd w:val="clear" w:color="auto" w:fill="FFFFFF"/>
          <w:lang w:val="hr-HR"/>
        </w:rPr>
      </w:pPr>
      <w:r>
        <w:rPr>
          <w:noProof/>
          <w:color w:val="212121"/>
          <w:szCs w:val="28"/>
          <w:shd w:val="clear" w:color="auto" w:fill="FFFFFF"/>
          <w:lang w:val="hr-HR"/>
        </w:rPr>
        <w:drawing>
          <wp:inline distT="0" distB="0" distL="0" distR="0" wp14:anchorId="76F966DF" wp14:editId="58EC7EFB">
            <wp:extent cx="4996543" cy="2914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rivat_fenilnorstatin.PNG"/>
                    <pic:cNvPicPr/>
                  </pic:nvPicPr>
                  <pic:blipFill>
                    <a:blip r:embed="rId26">
                      <a:extLst>
                        <a:ext uri="{28A0092B-C50C-407E-A947-70E740481C1C}">
                          <a14:useLocalDpi xmlns:a14="http://schemas.microsoft.com/office/drawing/2010/main" val="0"/>
                        </a:ext>
                      </a:extLst>
                    </a:blip>
                    <a:stretch>
                      <a:fillRect/>
                    </a:stretch>
                  </pic:blipFill>
                  <pic:spPr>
                    <a:xfrm>
                      <a:off x="0" y="0"/>
                      <a:ext cx="5086515" cy="2967133"/>
                    </a:xfrm>
                    <a:prstGeom prst="rect">
                      <a:avLst/>
                    </a:prstGeom>
                  </pic:spPr>
                </pic:pic>
              </a:graphicData>
            </a:graphic>
          </wp:inline>
        </w:drawing>
      </w:r>
    </w:p>
    <w:p w14:paraId="42733621" w14:textId="7570F2FC" w:rsidR="00050D1D" w:rsidRDefault="00050D1D" w:rsidP="00050D1D">
      <w:pPr>
        <w:spacing w:line="360" w:lineRule="auto"/>
        <w:ind w:left="360"/>
        <w:jc w:val="center"/>
        <w:rPr>
          <w:color w:val="212121"/>
          <w:szCs w:val="28"/>
          <w:shd w:val="clear" w:color="auto" w:fill="FFFFFF"/>
          <w:lang w:val="hr-HR"/>
        </w:rPr>
      </w:pPr>
      <w:r>
        <w:rPr>
          <w:color w:val="212121"/>
          <w:szCs w:val="28"/>
          <w:shd w:val="clear" w:color="auto" w:fill="FFFFFF"/>
          <w:lang w:val="hr-HR"/>
        </w:rPr>
        <w:t xml:space="preserve">Slika </w:t>
      </w:r>
      <w:r w:rsidR="00CD2D77">
        <w:rPr>
          <w:color w:val="212121"/>
          <w:szCs w:val="28"/>
          <w:shd w:val="clear" w:color="auto" w:fill="FFFFFF"/>
          <w:lang w:val="hr-HR"/>
        </w:rPr>
        <w:t>1</w:t>
      </w:r>
      <w:r w:rsidR="00035AAE">
        <w:rPr>
          <w:color w:val="212121"/>
          <w:szCs w:val="28"/>
          <w:shd w:val="clear" w:color="auto" w:fill="FFFFFF"/>
          <w:lang w:val="hr-HR"/>
        </w:rPr>
        <w:t>1</w:t>
      </w:r>
      <w:r>
        <w:rPr>
          <w:color w:val="212121"/>
          <w:szCs w:val="28"/>
          <w:shd w:val="clear" w:color="auto" w:fill="FFFFFF"/>
          <w:lang w:val="hr-HR"/>
        </w:rPr>
        <w:t>. Inhibitor β-sekretaze baziran na fenilnorstatinu. (</w:t>
      </w:r>
      <w:r w:rsidR="00D076D0">
        <w:rPr>
          <w:color w:val="212121"/>
          <w:szCs w:val="28"/>
          <w:shd w:val="clear" w:color="auto" w:fill="FFFFFF"/>
          <w:lang w:val="hr-HR"/>
        </w:rPr>
        <w:t xml:space="preserve">preuzeto iz </w:t>
      </w:r>
      <w:r>
        <w:rPr>
          <w:color w:val="212121"/>
          <w:szCs w:val="28"/>
          <w:shd w:val="clear" w:color="auto" w:fill="FFFFFF"/>
          <w:lang w:val="hr-HR"/>
        </w:rPr>
        <w:t>referenc</w:t>
      </w:r>
      <w:r w:rsidR="00D076D0">
        <w:rPr>
          <w:color w:val="212121"/>
          <w:szCs w:val="28"/>
          <w:shd w:val="clear" w:color="auto" w:fill="FFFFFF"/>
          <w:lang w:val="hr-HR"/>
        </w:rPr>
        <w:t>e</w:t>
      </w:r>
      <w:r>
        <w:rPr>
          <w:color w:val="212121"/>
          <w:szCs w:val="28"/>
          <w:shd w:val="clear" w:color="auto" w:fill="FFFFFF"/>
          <w:lang w:val="hr-HR"/>
        </w:rPr>
        <w:t xml:space="preserve"> </w:t>
      </w:r>
      <w:r w:rsidR="00D076D0">
        <w:rPr>
          <w:b/>
          <w:color w:val="212121"/>
          <w:szCs w:val="28"/>
          <w:shd w:val="clear" w:color="auto" w:fill="FFFFFF"/>
          <w:lang w:val="hr-HR"/>
        </w:rPr>
        <w:t>3</w:t>
      </w:r>
      <w:r w:rsidR="00035AAE">
        <w:rPr>
          <w:b/>
          <w:color w:val="212121"/>
          <w:szCs w:val="28"/>
          <w:shd w:val="clear" w:color="auto" w:fill="FFFFFF"/>
          <w:lang w:val="hr-HR"/>
        </w:rPr>
        <w:t>7</w:t>
      </w:r>
      <w:r>
        <w:rPr>
          <w:color w:val="212121"/>
          <w:szCs w:val="28"/>
          <w:shd w:val="clear" w:color="auto" w:fill="FFFFFF"/>
          <w:lang w:val="hr-HR"/>
        </w:rPr>
        <w:t>)</w:t>
      </w:r>
    </w:p>
    <w:p w14:paraId="58F075D1" w14:textId="77777777" w:rsidR="00050D1D" w:rsidRPr="007F6FD0" w:rsidRDefault="00050D1D" w:rsidP="00050D1D">
      <w:pPr>
        <w:spacing w:line="360" w:lineRule="auto"/>
        <w:ind w:left="360"/>
        <w:jc w:val="center"/>
        <w:rPr>
          <w:color w:val="212121"/>
          <w:szCs w:val="28"/>
          <w:shd w:val="clear" w:color="auto" w:fill="FFFFFF"/>
          <w:lang w:val="hr-HR"/>
        </w:rPr>
      </w:pPr>
    </w:p>
    <w:p w14:paraId="1BE4A6FF" w14:textId="77777777" w:rsidR="00050D1D" w:rsidRDefault="00050D1D" w:rsidP="00050D1D">
      <w:pPr>
        <w:spacing w:line="360" w:lineRule="auto"/>
        <w:jc w:val="center"/>
        <w:rPr>
          <w:lang w:val="hr-HR"/>
        </w:rPr>
      </w:pPr>
      <w:r>
        <w:rPr>
          <w:noProof/>
          <w:lang w:val="hr-HR"/>
        </w:rPr>
        <w:drawing>
          <wp:inline distT="0" distB="0" distL="0" distR="0" wp14:anchorId="03D05AB3" wp14:editId="6B342DA3">
            <wp:extent cx="4824730" cy="201497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rivat_tercalkohol.PNG"/>
                    <pic:cNvPicPr/>
                  </pic:nvPicPr>
                  <pic:blipFill>
                    <a:blip r:embed="rId27">
                      <a:extLst>
                        <a:ext uri="{28A0092B-C50C-407E-A947-70E740481C1C}">
                          <a14:useLocalDpi xmlns:a14="http://schemas.microsoft.com/office/drawing/2010/main" val="0"/>
                        </a:ext>
                      </a:extLst>
                    </a:blip>
                    <a:stretch>
                      <a:fillRect/>
                    </a:stretch>
                  </pic:blipFill>
                  <pic:spPr>
                    <a:xfrm>
                      <a:off x="0" y="0"/>
                      <a:ext cx="4882566" cy="2039124"/>
                    </a:xfrm>
                    <a:prstGeom prst="rect">
                      <a:avLst/>
                    </a:prstGeom>
                  </pic:spPr>
                </pic:pic>
              </a:graphicData>
            </a:graphic>
          </wp:inline>
        </w:drawing>
      </w:r>
    </w:p>
    <w:p w14:paraId="2DE756D6" w14:textId="291A20AC" w:rsidR="00050D1D" w:rsidRDefault="00050D1D" w:rsidP="00050D1D">
      <w:pPr>
        <w:spacing w:line="360" w:lineRule="auto"/>
        <w:jc w:val="center"/>
        <w:rPr>
          <w:lang w:val="hr-HR"/>
        </w:rPr>
      </w:pPr>
      <w:r>
        <w:rPr>
          <w:lang w:val="hr-HR"/>
        </w:rPr>
        <w:t xml:space="preserve">Slika </w:t>
      </w:r>
      <w:r w:rsidR="00CD2D77">
        <w:rPr>
          <w:lang w:val="hr-HR"/>
        </w:rPr>
        <w:t>1</w:t>
      </w:r>
      <w:r w:rsidR="00035AAE">
        <w:rPr>
          <w:lang w:val="hr-HR"/>
        </w:rPr>
        <w:t>2</w:t>
      </w:r>
      <w:r>
        <w:rPr>
          <w:lang w:val="hr-HR"/>
        </w:rPr>
        <w:t xml:space="preserve">. </w:t>
      </w:r>
      <w:r>
        <w:rPr>
          <w:color w:val="212121"/>
          <w:szCs w:val="28"/>
          <w:shd w:val="clear" w:color="auto" w:fill="FFFFFF"/>
          <w:lang w:val="hr-HR"/>
        </w:rPr>
        <w:t xml:space="preserve">Inhibitor β-sekretaze baziran na </w:t>
      </w:r>
      <w:r w:rsidRPr="00100E5F">
        <w:rPr>
          <w:i/>
          <w:color w:val="212121"/>
          <w:szCs w:val="28"/>
          <w:shd w:val="clear" w:color="auto" w:fill="FFFFFF"/>
          <w:lang w:val="hr-HR"/>
        </w:rPr>
        <w:t>terc</w:t>
      </w:r>
      <w:r>
        <w:rPr>
          <w:color w:val="212121"/>
          <w:szCs w:val="28"/>
          <w:shd w:val="clear" w:color="auto" w:fill="FFFFFF"/>
          <w:lang w:val="hr-HR"/>
        </w:rPr>
        <w:t>-hidroksilnoj skupini. (</w:t>
      </w:r>
      <w:r w:rsidR="00D076D0">
        <w:rPr>
          <w:color w:val="212121"/>
          <w:szCs w:val="28"/>
          <w:shd w:val="clear" w:color="auto" w:fill="FFFFFF"/>
          <w:lang w:val="hr-HR"/>
        </w:rPr>
        <w:t xml:space="preserve">preuzeto iz </w:t>
      </w:r>
      <w:r>
        <w:rPr>
          <w:color w:val="212121"/>
          <w:szCs w:val="28"/>
          <w:shd w:val="clear" w:color="auto" w:fill="FFFFFF"/>
          <w:lang w:val="hr-HR"/>
        </w:rPr>
        <w:t>referenc</w:t>
      </w:r>
      <w:r w:rsidR="00D076D0">
        <w:rPr>
          <w:color w:val="212121"/>
          <w:szCs w:val="28"/>
          <w:shd w:val="clear" w:color="auto" w:fill="FFFFFF"/>
          <w:lang w:val="hr-HR"/>
        </w:rPr>
        <w:t>e</w:t>
      </w:r>
      <w:r>
        <w:rPr>
          <w:color w:val="212121"/>
          <w:szCs w:val="28"/>
          <w:shd w:val="clear" w:color="auto" w:fill="FFFFFF"/>
          <w:lang w:val="hr-HR"/>
        </w:rPr>
        <w:t xml:space="preserve"> </w:t>
      </w:r>
      <w:r w:rsidR="00D076D0" w:rsidRPr="00D076D0">
        <w:rPr>
          <w:b/>
          <w:color w:val="212121"/>
          <w:szCs w:val="28"/>
          <w:shd w:val="clear" w:color="auto" w:fill="FFFFFF"/>
          <w:lang w:val="hr-HR"/>
        </w:rPr>
        <w:t>3</w:t>
      </w:r>
      <w:r w:rsidR="00035AAE">
        <w:rPr>
          <w:b/>
          <w:color w:val="212121"/>
          <w:szCs w:val="28"/>
          <w:shd w:val="clear" w:color="auto" w:fill="FFFFFF"/>
          <w:lang w:val="hr-HR"/>
        </w:rPr>
        <w:t>7</w:t>
      </w:r>
      <w:r>
        <w:rPr>
          <w:color w:val="212121"/>
          <w:szCs w:val="28"/>
          <w:shd w:val="clear" w:color="auto" w:fill="FFFFFF"/>
          <w:lang w:val="hr-HR"/>
        </w:rPr>
        <w:t>)</w:t>
      </w:r>
      <w:r>
        <w:rPr>
          <w:lang w:val="hr-HR"/>
        </w:rPr>
        <w:tab/>
      </w:r>
    </w:p>
    <w:p w14:paraId="1EFB0D30" w14:textId="77777777" w:rsidR="00FF5920" w:rsidRDefault="00FF5920" w:rsidP="00FF5920">
      <w:pPr>
        <w:pStyle w:val="OCJENSKIRADOVI3Podpodnaslovpoglavlja"/>
        <w:outlineLvl w:val="2"/>
      </w:pPr>
      <w:bookmarkStart w:id="25" w:name="_Toc101271722"/>
      <w:bookmarkStart w:id="26" w:name="_Hlk91507552"/>
      <w:r>
        <w:lastRenderedPageBreak/>
        <w:t>Hidroksietilenski izosteri</w:t>
      </w:r>
      <w:bookmarkEnd w:id="25"/>
    </w:p>
    <w:bookmarkEnd w:id="26"/>
    <w:p w14:paraId="20359BD1" w14:textId="58F1208E" w:rsidR="00FF5920" w:rsidRPr="00A4207F" w:rsidRDefault="00FF5920" w:rsidP="00FF5920">
      <w:pPr>
        <w:spacing w:line="360" w:lineRule="auto"/>
        <w:jc w:val="both"/>
        <w:rPr>
          <w:color w:val="212121"/>
          <w:szCs w:val="28"/>
          <w:shd w:val="clear" w:color="auto" w:fill="FFFFFF"/>
          <w:vertAlign w:val="superscript"/>
          <w:lang w:val="hr-HR"/>
        </w:rPr>
      </w:pPr>
      <w:r>
        <w:rPr>
          <w:color w:val="212121"/>
          <w:szCs w:val="28"/>
          <w:shd w:val="clear" w:color="auto" w:fill="FFFFFF"/>
          <w:lang w:val="hr-HR"/>
        </w:rPr>
        <w:t xml:space="preserve">Hidroksietilen kao izoster prijelaznog stanja uveden je još pri sintezi prvog inhibitora β-sekretaza, OM99-2, te je zadržan kao centralni dio strukture pri sintezi brojnih novih potencijalnih inhibitora. Spojevi koji sadrže N-terminalni izoftalamid pokazali su se kao snažni inhibitori, a njihova efikasnost poboljšana je uvođenjem atoma kisika na poziciju P1 hidroksietilena u okosnici (slika </w:t>
      </w:r>
      <w:r w:rsidR="0033419F">
        <w:rPr>
          <w:color w:val="212121"/>
          <w:szCs w:val="28"/>
          <w:shd w:val="clear" w:color="auto" w:fill="FFFFFF"/>
          <w:lang w:val="hr-HR"/>
        </w:rPr>
        <w:t>1</w:t>
      </w:r>
      <w:r w:rsidR="00035AAE">
        <w:rPr>
          <w:color w:val="212121"/>
          <w:szCs w:val="28"/>
          <w:shd w:val="clear" w:color="auto" w:fill="FFFFFF"/>
          <w:lang w:val="hr-HR"/>
        </w:rPr>
        <w:t>3</w:t>
      </w:r>
      <w:r>
        <w:rPr>
          <w:color w:val="212121"/>
          <w:szCs w:val="28"/>
          <w:shd w:val="clear" w:color="auto" w:fill="FFFFFF"/>
          <w:lang w:val="hr-HR"/>
        </w:rPr>
        <w:t>).</w:t>
      </w:r>
      <w:r w:rsidR="00A4207F">
        <w:rPr>
          <w:color w:val="212121"/>
          <w:szCs w:val="28"/>
          <w:shd w:val="clear" w:color="auto" w:fill="FFFFFF"/>
          <w:vertAlign w:val="superscript"/>
          <w:lang w:val="hr-HR"/>
        </w:rPr>
        <w:t>3</w:t>
      </w:r>
      <w:r w:rsidR="00035AAE">
        <w:rPr>
          <w:color w:val="212121"/>
          <w:szCs w:val="28"/>
          <w:shd w:val="clear" w:color="auto" w:fill="FFFFFF"/>
          <w:vertAlign w:val="superscript"/>
          <w:lang w:val="hr-HR"/>
        </w:rPr>
        <w:t>7</w:t>
      </w:r>
    </w:p>
    <w:p w14:paraId="43A76F4D" w14:textId="77777777" w:rsidR="00FF5920" w:rsidRDefault="0033419F" w:rsidP="00FF5920">
      <w:pPr>
        <w:spacing w:line="360" w:lineRule="auto"/>
        <w:ind w:left="360"/>
        <w:jc w:val="center"/>
        <w:rPr>
          <w:color w:val="212121"/>
          <w:szCs w:val="28"/>
          <w:shd w:val="clear" w:color="auto" w:fill="FFFFFF"/>
          <w:lang w:val="hr-HR"/>
        </w:rPr>
      </w:pPr>
      <w:r>
        <w:rPr>
          <w:noProof/>
          <w:color w:val="212121"/>
          <w:szCs w:val="28"/>
          <w:shd w:val="clear" w:color="auto" w:fill="FFFFFF"/>
          <w:lang w:val="hr-HR"/>
        </w:rPr>
        <w:drawing>
          <wp:inline distT="0" distB="0" distL="0" distR="0" wp14:anchorId="4BC7B149" wp14:editId="46E92D16">
            <wp:extent cx="4899426" cy="2495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 inhibitori PREZ.png"/>
                    <pic:cNvPicPr/>
                  </pic:nvPicPr>
                  <pic:blipFill>
                    <a:blip r:embed="rId28"/>
                    <a:stretch>
                      <a:fillRect/>
                    </a:stretch>
                  </pic:blipFill>
                  <pic:spPr>
                    <a:xfrm>
                      <a:off x="0" y="0"/>
                      <a:ext cx="4964461" cy="2528676"/>
                    </a:xfrm>
                    <a:prstGeom prst="rect">
                      <a:avLst/>
                    </a:prstGeom>
                  </pic:spPr>
                </pic:pic>
              </a:graphicData>
            </a:graphic>
          </wp:inline>
        </w:drawing>
      </w:r>
    </w:p>
    <w:p w14:paraId="0965B6AA" w14:textId="3A1A87FC" w:rsidR="00FF5920" w:rsidRDefault="00FF5920" w:rsidP="00FF5920">
      <w:pPr>
        <w:spacing w:line="360" w:lineRule="auto"/>
        <w:ind w:left="360"/>
        <w:jc w:val="center"/>
        <w:rPr>
          <w:color w:val="212121"/>
          <w:szCs w:val="28"/>
          <w:shd w:val="clear" w:color="auto" w:fill="FFFFFF"/>
          <w:lang w:val="hr-HR"/>
        </w:rPr>
      </w:pPr>
      <w:r>
        <w:rPr>
          <w:color w:val="212121"/>
          <w:szCs w:val="28"/>
          <w:shd w:val="clear" w:color="auto" w:fill="FFFFFF"/>
          <w:lang w:val="hr-HR"/>
        </w:rPr>
        <w:t xml:space="preserve">Slika </w:t>
      </w:r>
      <w:r w:rsidR="0033419F">
        <w:rPr>
          <w:color w:val="212121"/>
          <w:szCs w:val="28"/>
          <w:shd w:val="clear" w:color="auto" w:fill="FFFFFF"/>
          <w:lang w:val="hr-HR"/>
        </w:rPr>
        <w:t>1</w:t>
      </w:r>
      <w:r w:rsidR="00035AAE">
        <w:rPr>
          <w:color w:val="212121"/>
          <w:szCs w:val="28"/>
          <w:shd w:val="clear" w:color="auto" w:fill="FFFFFF"/>
          <w:lang w:val="hr-HR"/>
        </w:rPr>
        <w:t>3</w:t>
      </w:r>
      <w:r>
        <w:rPr>
          <w:color w:val="212121"/>
          <w:szCs w:val="28"/>
          <w:shd w:val="clear" w:color="auto" w:fill="FFFFFF"/>
          <w:lang w:val="hr-HR"/>
        </w:rPr>
        <w:t>. Inhibitor β-sekretaze baziran na hidroksietilenskom izosteru prijelaznog stanja. (</w:t>
      </w:r>
      <w:r w:rsidR="0033419F">
        <w:rPr>
          <w:color w:val="212121"/>
          <w:szCs w:val="28"/>
          <w:shd w:val="clear" w:color="auto" w:fill="FFFFFF"/>
          <w:lang w:val="hr-HR"/>
        </w:rPr>
        <w:t xml:space="preserve">preuzeto iz </w:t>
      </w:r>
      <w:r>
        <w:rPr>
          <w:color w:val="212121"/>
          <w:szCs w:val="28"/>
          <w:shd w:val="clear" w:color="auto" w:fill="FFFFFF"/>
          <w:lang w:val="hr-HR"/>
        </w:rPr>
        <w:t>referenc</w:t>
      </w:r>
      <w:r w:rsidR="0033419F">
        <w:rPr>
          <w:color w:val="212121"/>
          <w:szCs w:val="28"/>
          <w:shd w:val="clear" w:color="auto" w:fill="FFFFFF"/>
          <w:lang w:val="hr-HR"/>
        </w:rPr>
        <w:t>e</w:t>
      </w:r>
      <w:r>
        <w:rPr>
          <w:color w:val="212121"/>
          <w:szCs w:val="28"/>
          <w:shd w:val="clear" w:color="auto" w:fill="FFFFFF"/>
          <w:lang w:val="hr-HR"/>
        </w:rPr>
        <w:t xml:space="preserve"> </w:t>
      </w:r>
      <w:r w:rsidR="0033419F">
        <w:rPr>
          <w:b/>
          <w:color w:val="212121"/>
          <w:szCs w:val="28"/>
          <w:shd w:val="clear" w:color="auto" w:fill="FFFFFF"/>
          <w:lang w:val="hr-HR"/>
        </w:rPr>
        <w:t>3</w:t>
      </w:r>
      <w:r w:rsidR="00035AAE">
        <w:rPr>
          <w:b/>
          <w:color w:val="212121"/>
          <w:szCs w:val="28"/>
          <w:shd w:val="clear" w:color="auto" w:fill="FFFFFF"/>
          <w:lang w:val="hr-HR"/>
        </w:rPr>
        <w:t>7</w:t>
      </w:r>
      <w:r>
        <w:rPr>
          <w:color w:val="212121"/>
          <w:szCs w:val="28"/>
          <w:shd w:val="clear" w:color="auto" w:fill="FFFFFF"/>
          <w:lang w:val="hr-HR"/>
        </w:rPr>
        <w:t>)</w:t>
      </w:r>
    </w:p>
    <w:p w14:paraId="1E1D5B7F" w14:textId="77777777" w:rsidR="00CA2571" w:rsidRDefault="00CA2571" w:rsidP="00FF5920">
      <w:pPr>
        <w:spacing w:line="360" w:lineRule="auto"/>
        <w:ind w:left="360"/>
        <w:jc w:val="center"/>
        <w:rPr>
          <w:color w:val="212121"/>
          <w:szCs w:val="28"/>
          <w:shd w:val="clear" w:color="auto" w:fill="FFFFFF"/>
          <w:lang w:val="hr-HR"/>
        </w:rPr>
      </w:pPr>
    </w:p>
    <w:p w14:paraId="674BD267" w14:textId="77777777" w:rsidR="00C61E5D" w:rsidRDefault="00C61E5D" w:rsidP="00FF5920">
      <w:pPr>
        <w:spacing w:line="360" w:lineRule="auto"/>
        <w:ind w:left="360"/>
        <w:jc w:val="center"/>
        <w:rPr>
          <w:color w:val="212121"/>
          <w:szCs w:val="28"/>
          <w:shd w:val="clear" w:color="auto" w:fill="FFFFFF"/>
          <w:lang w:val="hr-HR"/>
        </w:rPr>
      </w:pPr>
    </w:p>
    <w:p w14:paraId="62D3AD41" w14:textId="77777777" w:rsidR="00FF5920" w:rsidRDefault="00FF5920" w:rsidP="00CA3BF9">
      <w:pPr>
        <w:pStyle w:val="OCJENSKIRADOVI3Podpodnaslovpoglavlja"/>
      </w:pPr>
      <w:bookmarkStart w:id="27" w:name="_Hlk91507653"/>
      <w:r>
        <w:t>Hidroksietilenaminski izosteri</w:t>
      </w:r>
    </w:p>
    <w:bookmarkEnd w:id="27"/>
    <w:p w14:paraId="6DAA8FC5" w14:textId="0F02A3D1" w:rsidR="00FF5920" w:rsidRPr="00A4207F" w:rsidRDefault="00FF5920" w:rsidP="00FF5920">
      <w:pPr>
        <w:spacing w:line="360" w:lineRule="auto"/>
        <w:jc w:val="both"/>
        <w:rPr>
          <w:color w:val="212121"/>
          <w:szCs w:val="28"/>
          <w:shd w:val="clear" w:color="auto" w:fill="FFFFFF"/>
          <w:vertAlign w:val="superscript"/>
          <w:lang w:val="hr-HR"/>
        </w:rPr>
      </w:pPr>
      <w:r>
        <w:rPr>
          <w:color w:val="212121"/>
          <w:szCs w:val="28"/>
          <w:shd w:val="clear" w:color="auto" w:fill="FFFFFF"/>
          <w:lang w:val="hr-HR"/>
        </w:rPr>
        <w:t xml:space="preserve">Maillard i suradnici priredili su niz hidroksietilenaminskih (HEA) izostera prijelaznog stanja koji na </w:t>
      </w:r>
      <w:r w:rsidRPr="00162D02">
        <w:rPr>
          <w:i/>
          <w:color w:val="212121"/>
          <w:szCs w:val="28"/>
          <w:shd w:val="clear" w:color="auto" w:fill="FFFFFF"/>
          <w:lang w:val="hr-HR"/>
        </w:rPr>
        <w:t>N</w:t>
      </w:r>
      <w:r>
        <w:rPr>
          <w:color w:val="212121"/>
          <w:szCs w:val="28"/>
          <w:shd w:val="clear" w:color="auto" w:fill="FFFFFF"/>
          <w:lang w:val="hr-HR"/>
        </w:rPr>
        <w:t xml:space="preserve">-kraju sadrže izoftalamid, a na poziciji P1 3,5 difluorofenil. Iako su se pokazali kao snažni inhibitori, njihova metabolička nestabilnost zbog mikrosomalne </w:t>
      </w:r>
      <w:r w:rsidRPr="00162D02">
        <w:rPr>
          <w:i/>
          <w:color w:val="212121"/>
          <w:szCs w:val="28"/>
          <w:shd w:val="clear" w:color="auto" w:fill="FFFFFF"/>
          <w:lang w:val="hr-HR"/>
        </w:rPr>
        <w:t>N</w:t>
      </w:r>
      <w:r>
        <w:rPr>
          <w:color w:val="212121"/>
          <w:szCs w:val="28"/>
          <w:shd w:val="clear" w:color="auto" w:fill="FFFFFF"/>
          <w:lang w:val="hr-HR"/>
        </w:rPr>
        <w:t xml:space="preserve">-debenzilacije i </w:t>
      </w:r>
      <w:r w:rsidRPr="00162D02">
        <w:rPr>
          <w:i/>
          <w:color w:val="212121"/>
          <w:szCs w:val="28"/>
          <w:shd w:val="clear" w:color="auto" w:fill="FFFFFF"/>
          <w:lang w:val="hr-HR"/>
        </w:rPr>
        <w:t>N</w:t>
      </w:r>
      <w:r>
        <w:rPr>
          <w:color w:val="212121"/>
          <w:szCs w:val="28"/>
          <w:shd w:val="clear" w:color="auto" w:fill="FFFFFF"/>
          <w:lang w:val="hr-HR"/>
        </w:rPr>
        <w:t>-depropilacije zahtjevala je zamjenu izoftalata sulfonima. To je dovelo do otkrića GSK 188909,  HEA inhibitora koji se pokazao oralno biodostupnim lijekom koji snižava razinu Aβ u mozgu APP transgeničnih miševa te pokazuje dobru selektivnost naspram BACE-2, renina i katepsina D. Struktura inhibitora prikazana je na slici 1</w:t>
      </w:r>
      <w:r w:rsidR="00035AAE">
        <w:rPr>
          <w:color w:val="212121"/>
          <w:szCs w:val="28"/>
          <w:shd w:val="clear" w:color="auto" w:fill="FFFFFF"/>
          <w:lang w:val="hr-HR"/>
        </w:rPr>
        <w:t>4</w:t>
      </w:r>
      <w:r>
        <w:rPr>
          <w:color w:val="212121"/>
          <w:szCs w:val="28"/>
          <w:shd w:val="clear" w:color="auto" w:fill="FFFFFF"/>
          <w:lang w:val="hr-HR"/>
        </w:rPr>
        <w:t xml:space="preserve">. Inhibitor GRL-8234 također je HEA izoster koji je pokazao odličnu aktivnost </w:t>
      </w:r>
      <w:r>
        <w:rPr>
          <w:i/>
          <w:color w:val="212121"/>
          <w:szCs w:val="28"/>
          <w:shd w:val="clear" w:color="auto" w:fill="FFFFFF"/>
          <w:lang w:val="hr-HR"/>
        </w:rPr>
        <w:t>in vitro</w:t>
      </w:r>
      <w:r>
        <w:rPr>
          <w:color w:val="212121"/>
          <w:szCs w:val="28"/>
          <w:shd w:val="clear" w:color="auto" w:fill="FFFFFF"/>
          <w:lang w:val="hr-HR"/>
        </w:rPr>
        <w:t xml:space="preserve"> (IC</w:t>
      </w:r>
      <w:r>
        <w:rPr>
          <w:color w:val="212121"/>
          <w:szCs w:val="28"/>
          <w:shd w:val="clear" w:color="auto" w:fill="FFFFFF"/>
          <w:vertAlign w:val="subscript"/>
          <w:lang w:val="hr-HR"/>
        </w:rPr>
        <w:t xml:space="preserve">50 </w:t>
      </w:r>
      <w:r>
        <w:rPr>
          <w:color w:val="212121"/>
          <w:szCs w:val="28"/>
          <w:shd w:val="clear" w:color="auto" w:fill="FFFFFF"/>
          <w:lang w:val="hr-HR"/>
        </w:rPr>
        <w:t xml:space="preserve">= 1 nM, </w:t>
      </w:r>
      <w:r w:rsidRPr="00DA6B74">
        <w:rPr>
          <w:i/>
          <w:color w:val="212121"/>
          <w:szCs w:val="28"/>
          <w:shd w:val="clear" w:color="auto" w:fill="FFFFFF"/>
          <w:lang w:val="hr-HR"/>
        </w:rPr>
        <w:t>K</w:t>
      </w:r>
      <w:r>
        <w:rPr>
          <w:color w:val="212121"/>
          <w:szCs w:val="28"/>
          <w:shd w:val="clear" w:color="auto" w:fill="FFFFFF"/>
          <w:vertAlign w:val="subscript"/>
          <w:lang w:val="hr-HR"/>
        </w:rPr>
        <w:t xml:space="preserve">i </w:t>
      </w:r>
      <w:r>
        <w:rPr>
          <w:color w:val="212121"/>
          <w:szCs w:val="28"/>
          <w:shd w:val="clear" w:color="auto" w:fill="FFFFFF"/>
          <w:lang w:val="hr-HR"/>
        </w:rPr>
        <w:t>= 1,8 nM ) te umjerenu selektivnost naspram katepsina D i BACE-2. Uz to, inhibira produkciju Aβ kod transgeničnih miševa</w:t>
      </w:r>
      <w:r w:rsidR="00C61E5D">
        <w:rPr>
          <w:color w:val="212121"/>
          <w:szCs w:val="28"/>
          <w:shd w:val="clear" w:color="auto" w:fill="FFFFFF"/>
          <w:lang w:val="hr-HR"/>
        </w:rPr>
        <w:t xml:space="preserve">. </w:t>
      </w:r>
      <w:r>
        <w:rPr>
          <w:color w:val="212121"/>
          <w:szCs w:val="28"/>
          <w:shd w:val="clear" w:color="auto" w:fill="FFFFFF"/>
          <w:lang w:val="hr-HR"/>
        </w:rPr>
        <w:t>Struktura spoja GRL-8234 prikazana je na slici 1</w:t>
      </w:r>
      <w:r w:rsidR="00035AAE">
        <w:rPr>
          <w:color w:val="212121"/>
          <w:szCs w:val="28"/>
          <w:shd w:val="clear" w:color="auto" w:fill="FFFFFF"/>
          <w:lang w:val="hr-HR"/>
        </w:rPr>
        <w:t>5</w:t>
      </w:r>
      <w:r>
        <w:rPr>
          <w:color w:val="212121"/>
          <w:szCs w:val="28"/>
          <w:shd w:val="clear" w:color="auto" w:fill="FFFFFF"/>
          <w:lang w:val="hr-HR"/>
        </w:rPr>
        <w:t>.</w:t>
      </w:r>
      <w:r w:rsidR="00A4207F">
        <w:rPr>
          <w:color w:val="212121"/>
          <w:szCs w:val="28"/>
          <w:shd w:val="clear" w:color="auto" w:fill="FFFFFF"/>
          <w:vertAlign w:val="superscript"/>
          <w:lang w:val="hr-HR"/>
        </w:rPr>
        <w:t>3</w:t>
      </w:r>
      <w:r w:rsidR="00035AAE">
        <w:rPr>
          <w:color w:val="212121"/>
          <w:szCs w:val="28"/>
          <w:shd w:val="clear" w:color="auto" w:fill="FFFFFF"/>
          <w:vertAlign w:val="superscript"/>
          <w:lang w:val="hr-HR"/>
        </w:rPr>
        <w:t>7</w:t>
      </w:r>
    </w:p>
    <w:p w14:paraId="435A6DC1" w14:textId="77777777" w:rsidR="00FF5920" w:rsidRDefault="00FF5920" w:rsidP="00FF5920">
      <w:pPr>
        <w:spacing w:line="360" w:lineRule="auto"/>
        <w:ind w:left="360"/>
        <w:jc w:val="center"/>
        <w:rPr>
          <w:color w:val="212121"/>
          <w:szCs w:val="28"/>
          <w:shd w:val="clear" w:color="auto" w:fill="FFFFFF"/>
          <w:lang w:val="hr-HR"/>
        </w:rPr>
      </w:pPr>
      <w:r>
        <w:rPr>
          <w:noProof/>
          <w:color w:val="212121"/>
          <w:szCs w:val="28"/>
          <w:shd w:val="clear" w:color="auto" w:fill="FFFFFF"/>
          <w:lang w:val="hr-HR"/>
        </w:rPr>
        <w:lastRenderedPageBreak/>
        <w:drawing>
          <wp:inline distT="0" distB="0" distL="0" distR="0" wp14:anchorId="7A739096" wp14:editId="3E7EC467">
            <wp:extent cx="4219575" cy="23652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sk188909.PNG"/>
                    <pic:cNvPicPr/>
                  </pic:nvPicPr>
                  <pic:blipFill>
                    <a:blip r:embed="rId29">
                      <a:extLst>
                        <a:ext uri="{28A0092B-C50C-407E-A947-70E740481C1C}">
                          <a14:useLocalDpi xmlns:a14="http://schemas.microsoft.com/office/drawing/2010/main" val="0"/>
                        </a:ext>
                      </a:extLst>
                    </a:blip>
                    <a:stretch>
                      <a:fillRect/>
                    </a:stretch>
                  </pic:blipFill>
                  <pic:spPr>
                    <a:xfrm>
                      <a:off x="0" y="0"/>
                      <a:ext cx="4350057" cy="2438372"/>
                    </a:xfrm>
                    <a:prstGeom prst="rect">
                      <a:avLst/>
                    </a:prstGeom>
                  </pic:spPr>
                </pic:pic>
              </a:graphicData>
            </a:graphic>
          </wp:inline>
        </w:drawing>
      </w:r>
    </w:p>
    <w:p w14:paraId="7F31623F" w14:textId="3E04843C" w:rsidR="00FF5920" w:rsidRDefault="00FF5920" w:rsidP="00FF5920">
      <w:pPr>
        <w:spacing w:line="360" w:lineRule="auto"/>
        <w:ind w:left="360"/>
        <w:jc w:val="center"/>
        <w:rPr>
          <w:color w:val="212121"/>
          <w:szCs w:val="28"/>
          <w:shd w:val="clear" w:color="auto" w:fill="FFFFFF"/>
          <w:lang w:val="hr-HR"/>
        </w:rPr>
      </w:pPr>
      <w:r>
        <w:rPr>
          <w:color w:val="212121"/>
          <w:szCs w:val="28"/>
          <w:shd w:val="clear" w:color="auto" w:fill="FFFFFF"/>
          <w:lang w:val="hr-HR"/>
        </w:rPr>
        <w:t>Slika 1</w:t>
      </w:r>
      <w:r w:rsidR="00035AAE">
        <w:rPr>
          <w:color w:val="212121"/>
          <w:szCs w:val="28"/>
          <w:shd w:val="clear" w:color="auto" w:fill="FFFFFF"/>
          <w:lang w:val="hr-HR"/>
        </w:rPr>
        <w:t>4</w:t>
      </w:r>
      <w:r>
        <w:rPr>
          <w:color w:val="212121"/>
          <w:szCs w:val="28"/>
          <w:shd w:val="clear" w:color="auto" w:fill="FFFFFF"/>
          <w:lang w:val="hr-HR"/>
        </w:rPr>
        <w:t>. GSK 188909, inhibitor β-sekretaza baziran na hidroksietilenaminskom izosteru prijelaznog stanja. (</w:t>
      </w:r>
      <w:r w:rsidR="00C61E5D">
        <w:rPr>
          <w:color w:val="212121"/>
          <w:szCs w:val="28"/>
          <w:shd w:val="clear" w:color="auto" w:fill="FFFFFF"/>
          <w:lang w:val="hr-HR"/>
        </w:rPr>
        <w:t xml:space="preserve">preuzeto iz </w:t>
      </w:r>
      <w:r>
        <w:rPr>
          <w:color w:val="212121"/>
          <w:szCs w:val="28"/>
          <w:shd w:val="clear" w:color="auto" w:fill="FFFFFF"/>
          <w:lang w:val="hr-HR"/>
        </w:rPr>
        <w:t>referenc</w:t>
      </w:r>
      <w:r w:rsidR="00C61E5D">
        <w:rPr>
          <w:color w:val="212121"/>
          <w:szCs w:val="28"/>
          <w:shd w:val="clear" w:color="auto" w:fill="FFFFFF"/>
          <w:lang w:val="hr-HR"/>
        </w:rPr>
        <w:t>e</w:t>
      </w:r>
      <w:r>
        <w:rPr>
          <w:color w:val="212121"/>
          <w:szCs w:val="28"/>
          <w:shd w:val="clear" w:color="auto" w:fill="FFFFFF"/>
          <w:lang w:val="hr-HR"/>
        </w:rPr>
        <w:t xml:space="preserve"> </w:t>
      </w:r>
      <w:r w:rsidR="00C61E5D">
        <w:rPr>
          <w:b/>
          <w:color w:val="212121"/>
          <w:szCs w:val="28"/>
          <w:shd w:val="clear" w:color="auto" w:fill="FFFFFF"/>
          <w:lang w:val="hr-HR"/>
        </w:rPr>
        <w:t>3</w:t>
      </w:r>
      <w:r w:rsidR="00035AAE">
        <w:rPr>
          <w:b/>
          <w:color w:val="212121"/>
          <w:szCs w:val="28"/>
          <w:shd w:val="clear" w:color="auto" w:fill="FFFFFF"/>
          <w:lang w:val="hr-HR"/>
        </w:rPr>
        <w:t>7</w:t>
      </w:r>
      <w:r>
        <w:rPr>
          <w:color w:val="212121"/>
          <w:szCs w:val="28"/>
          <w:shd w:val="clear" w:color="auto" w:fill="FFFFFF"/>
          <w:lang w:val="hr-HR"/>
        </w:rPr>
        <w:t>)</w:t>
      </w:r>
    </w:p>
    <w:p w14:paraId="249302A0" w14:textId="77777777" w:rsidR="00FF5920" w:rsidRDefault="00FF5920" w:rsidP="00FF5920">
      <w:pPr>
        <w:spacing w:line="360" w:lineRule="auto"/>
        <w:ind w:left="360"/>
        <w:jc w:val="center"/>
        <w:rPr>
          <w:color w:val="212121"/>
          <w:szCs w:val="28"/>
          <w:shd w:val="clear" w:color="auto" w:fill="FFFFFF"/>
          <w:lang w:val="hr-HR"/>
        </w:rPr>
      </w:pPr>
    </w:p>
    <w:p w14:paraId="36D871CB" w14:textId="77777777" w:rsidR="00FF5920" w:rsidRDefault="00FF5920" w:rsidP="00FF5920">
      <w:pPr>
        <w:spacing w:line="360" w:lineRule="auto"/>
        <w:ind w:left="360"/>
        <w:jc w:val="center"/>
        <w:rPr>
          <w:color w:val="212121"/>
          <w:szCs w:val="28"/>
          <w:shd w:val="clear" w:color="auto" w:fill="FFFFFF"/>
          <w:lang w:val="hr-HR"/>
        </w:rPr>
      </w:pPr>
      <w:r>
        <w:rPr>
          <w:noProof/>
          <w:color w:val="212121"/>
          <w:szCs w:val="28"/>
          <w:shd w:val="clear" w:color="auto" w:fill="FFFFFF"/>
          <w:lang w:val="hr-HR"/>
        </w:rPr>
        <w:drawing>
          <wp:inline distT="0" distB="0" distL="0" distR="0" wp14:anchorId="20416B47" wp14:editId="08BD3DB1">
            <wp:extent cx="4200034" cy="1571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l 8234.PNG"/>
                    <pic:cNvPicPr/>
                  </pic:nvPicPr>
                  <pic:blipFill>
                    <a:blip r:embed="rId30">
                      <a:extLst>
                        <a:ext uri="{28A0092B-C50C-407E-A947-70E740481C1C}">
                          <a14:useLocalDpi xmlns:a14="http://schemas.microsoft.com/office/drawing/2010/main" val="0"/>
                        </a:ext>
                      </a:extLst>
                    </a:blip>
                    <a:stretch>
                      <a:fillRect/>
                    </a:stretch>
                  </pic:blipFill>
                  <pic:spPr>
                    <a:xfrm>
                      <a:off x="0" y="0"/>
                      <a:ext cx="4323734" cy="1617913"/>
                    </a:xfrm>
                    <a:prstGeom prst="rect">
                      <a:avLst/>
                    </a:prstGeom>
                  </pic:spPr>
                </pic:pic>
              </a:graphicData>
            </a:graphic>
          </wp:inline>
        </w:drawing>
      </w:r>
    </w:p>
    <w:p w14:paraId="28923F08" w14:textId="336E18D8" w:rsidR="00FF5920" w:rsidRDefault="00FF5920" w:rsidP="00FF5920">
      <w:pPr>
        <w:pStyle w:val="OCJENSKIRADOVIOdlomak3NASTAVAKODLOMKA"/>
        <w:jc w:val="center"/>
        <w:rPr>
          <w:color w:val="212121"/>
          <w:szCs w:val="28"/>
          <w:shd w:val="clear" w:color="auto" w:fill="FFFFFF"/>
        </w:rPr>
      </w:pPr>
      <w:r>
        <w:rPr>
          <w:color w:val="212121"/>
          <w:szCs w:val="28"/>
          <w:shd w:val="clear" w:color="auto" w:fill="FFFFFF"/>
        </w:rPr>
        <w:t>Slika 1</w:t>
      </w:r>
      <w:r w:rsidR="00035AAE">
        <w:rPr>
          <w:color w:val="212121"/>
          <w:szCs w:val="28"/>
          <w:shd w:val="clear" w:color="auto" w:fill="FFFFFF"/>
        </w:rPr>
        <w:t>5</w:t>
      </w:r>
      <w:r>
        <w:rPr>
          <w:color w:val="212121"/>
          <w:szCs w:val="28"/>
          <w:shd w:val="clear" w:color="auto" w:fill="FFFFFF"/>
        </w:rPr>
        <w:t>. GRL-8234, inhibitor β-sekretaza baziran na hidroksietilenaminskom izosteru prijelaznog stanja. (</w:t>
      </w:r>
      <w:r w:rsidR="00C61E5D">
        <w:rPr>
          <w:color w:val="212121"/>
          <w:szCs w:val="28"/>
          <w:shd w:val="clear" w:color="auto" w:fill="FFFFFF"/>
        </w:rPr>
        <w:t xml:space="preserve">preuzeto iz </w:t>
      </w:r>
      <w:r>
        <w:rPr>
          <w:color w:val="212121"/>
          <w:szCs w:val="28"/>
          <w:shd w:val="clear" w:color="auto" w:fill="FFFFFF"/>
        </w:rPr>
        <w:t>referenc</w:t>
      </w:r>
      <w:r w:rsidR="00C61E5D">
        <w:rPr>
          <w:color w:val="212121"/>
          <w:szCs w:val="28"/>
          <w:shd w:val="clear" w:color="auto" w:fill="FFFFFF"/>
        </w:rPr>
        <w:t>e</w:t>
      </w:r>
      <w:r>
        <w:rPr>
          <w:color w:val="212121"/>
          <w:szCs w:val="28"/>
          <w:shd w:val="clear" w:color="auto" w:fill="FFFFFF"/>
        </w:rPr>
        <w:t xml:space="preserve"> </w:t>
      </w:r>
      <w:r w:rsidR="00C61E5D">
        <w:rPr>
          <w:b/>
          <w:color w:val="212121"/>
          <w:szCs w:val="28"/>
          <w:shd w:val="clear" w:color="auto" w:fill="FFFFFF"/>
        </w:rPr>
        <w:t>3</w:t>
      </w:r>
      <w:r w:rsidR="00035AAE">
        <w:rPr>
          <w:b/>
          <w:color w:val="212121"/>
          <w:szCs w:val="28"/>
          <w:shd w:val="clear" w:color="auto" w:fill="FFFFFF"/>
        </w:rPr>
        <w:t>7</w:t>
      </w:r>
      <w:r>
        <w:rPr>
          <w:color w:val="212121"/>
          <w:szCs w:val="28"/>
          <w:shd w:val="clear" w:color="auto" w:fill="FFFFFF"/>
        </w:rPr>
        <w:t>)</w:t>
      </w:r>
    </w:p>
    <w:p w14:paraId="0D88D7EC" w14:textId="77777777" w:rsidR="00FF5920" w:rsidRDefault="00FF5920" w:rsidP="00FF5920">
      <w:pPr>
        <w:pStyle w:val="OCJENSKIRADOVIOdlomak3NASTAVAKODLOMKA"/>
        <w:jc w:val="center"/>
      </w:pPr>
    </w:p>
    <w:p w14:paraId="55D02D2F" w14:textId="77777777" w:rsidR="00FF5920" w:rsidRDefault="00FF5920" w:rsidP="000F348E">
      <w:pPr>
        <w:pStyle w:val="OCJENSKIRADOVI3Podpodnaslovpoglavlja"/>
        <w:outlineLvl w:val="2"/>
      </w:pPr>
      <w:bookmarkStart w:id="28" w:name="_Toc101271723"/>
      <w:bookmarkStart w:id="29" w:name="_Hlk91508255"/>
      <w:r>
        <w:t>Karbinaminski inhibitori</w:t>
      </w:r>
      <w:bookmarkEnd w:id="28"/>
    </w:p>
    <w:bookmarkEnd w:id="29"/>
    <w:p w14:paraId="2E62439C" w14:textId="606086C7" w:rsidR="00FF5920" w:rsidRPr="00A4207F" w:rsidRDefault="00FF5920" w:rsidP="00FF5920">
      <w:pPr>
        <w:spacing w:line="360" w:lineRule="auto"/>
        <w:jc w:val="both"/>
        <w:rPr>
          <w:color w:val="212121"/>
          <w:szCs w:val="28"/>
          <w:shd w:val="clear" w:color="auto" w:fill="FFFFFF"/>
          <w:vertAlign w:val="superscript"/>
          <w:lang w:val="hr-HR"/>
        </w:rPr>
      </w:pPr>
      <w:r>
        <w:rPr>
          <w:color w:val="212121"/>
          <w:szCs w:val="28"/>
          <w:shd w:val="clear" w:color="auto" w:fill="FFFFFF"/>
          <w:lang w:val="hr-HR"/>
        </w:rPr>
        <w:t>Kod karbinaminskih inhibitora uočeno je da primarni amin interagira s katalitičkim aspartatom β-sekretaze. Ovaj tip inhibitora pokazao se potentnim u enzimskim i staničnim testovima te pokazuje dobru selektivnost naspram katepsina D te umjerenu selektivnost naspram BACE-2. Inkorporacijom izonikotinamida</w:t>
      </w:r>
      <w:r w:rsidR="005F6664">
        <w:rPr>
          <w:color w:val="212121"/>
          <w:szCs w:val="28"/>
          <w:shd w:val="clear" w:color="auto" w:fill="FFFFFF"/>
          <w:lang w:val="hr-HR"/>
        </w:rPr>
        <w:t>,</w:t>
      </w:r>
      <w:r>
        <w:rPr>
          <w:color w:val="212121"/>
          <w:szCs w:val="28"/>
          <w:shd w:val="clear" w:color="auto" w:fill="FFFFFF"/>
          <w:lang w:val="hr-HR"/>
        </w:rPr>
        <w:t xml:space="preserve"> metilciklopropilne skupine na poziciji P3</w:t>
      </w:r>
      <w:r w:rsidR="005F6664">
        <w:rPr>
          <w:color w:val="212121"/>
          <w:szCs w:val="28"/>
          <w:shd w:val="clear" w:color="auto" w:fill="FFFFFF"/>
          <w:lang w:val="hr-HR"/>
        </w:rPr>
        <w:t xml:space="preserve"> i oksadiazola</w:t>
      </w:r>
      <w:r>
        <w:rPr>
          <w:color w:val="212121"/>
          <w:szCs w:val="28"/>
          <w:shd w:val="clear" w:color="auto" w:fill="FFFFFF"/>
          <w:lang w:val="hr-HR"/>
        </w:rPr>
        <w:t xml:space="preserve"> dobiven je vrlo snažan inhibitor (IC</w:t>
      </w:r>
      <w:r>
        <w:rPr>
          <w:color w:val="212121"/>
          <w:szCs w:val="28"/>
          <w:shd w:val="clear" w:color="auto" w:fill="FFFFFF"/>
          <w:vertAlign w:val="subscript"/>
          <w:lang w:val="hr-HR"/>
        </w:rPr>
        <w:t>50</w:t>
      </w:r>
      <w:r>
        <w:rPr>
          <w:color w:val="212121"/>
          <w:szCs w:val="28"/>
          <w:shd w:val="clear" w:color="auto" w:fill="FFFFFF"/>
          <w:lang w:val="hr-HR"/>
        </w:rPr>
        <w:t xml:space="preserve"> = 0,4 nM) koji se slabo veže na PGP transporter zbog čega ima dobar potencijal za prolazak kroz BBB (spoj je prikazan na slici 1</w:t>
      </w:r>
      <w:r w:rsidR="00035AAE">
        <w:rPr>
          <w:color w:val="212121"/>
          <w:szCs w:val="28"/>
          <w:shd w:val="clear" w:color="auto" w:fill="FFFFFF"/>
          <w:lang w:val="hr-HR"/>
        </w:rPr>
        <w:t>6</w:t>
      </w:r>
      <w:r>
        <w:rPr>
          <w:color w:val="212121"/>
          <w:szCs w:val="28"/>
          <w:shd w:val="clear" w:color="auto" w:fill="FFFFFF"/>
          <w:lang w:val="hr-HR"/>
        </w:rPr>
        <w:t xml:space="preserve"> uz oznaku </w:t>
      </w:r>
      <w:r w:rsidRPr="006D25F8">
        <w:rPr>
          <w:b/>
          <w:color w:val="212121"/>
          <w:szCs w:val="28"/>
          <w:shd w:val="clear" w:color="auto" w:fill="FFFFFF"/>
          <w:lang w:val="hr-HR"/>
        </w:rPr>
        <w:t>1</w:t>
      </w:r>
      <w:r>
        <w:rPr>
          <w:color w:val="212121"/>
          <w:szCs w:val="28"/>
          <w:shd w:val="clear" w:color="auto" w:fill="FFFFFF"/>
          <w:lang w:val="hr-HR"/>
        </w:rPr>
        <w:t xml:space="preserve">). Ipak, ovaj spoj pokazao je slabu oralnu biodostupnost. Iz kokristalne strukture inhibitora i β-sekretaze ustanovljeno je da inhibitor zauzima podjedinice S1 – S3 aktivnog mjesta enzima te da benzilna skupina na poziciji P1 interagira sa S1 podjedinicom enzima. Optimizacijom supstituenta na poziciji P1 (zamjena vodika s atomom fluora na poziciji 4 benzenskog prstena) </w:t>
      </w:r>
      <w:r>
        <w:rPr>
          <w:color w:val="212121"/>
          <w:szCs w:val="28"/>
          <w:shd w:val="clear" w:color="auto" w:fill="FFFFFF"/>
          <w:lang w:val="hr-HR"/>
        </w:rPr>
        <w:lastRenderedPageBreak/>
        <w:t xml:space="preserve">dobiven je </w:t>
      </w:r>
      <w:r w:rsidR="005F6664">
        <w:rPr>
          <w:color w:val="212121"/>
          <w:szCs w:val="28"/>
          <w:shd w:val="clear" w:color="auto" w:fill="FFFFFF"/>
          <w:lang w:val="hr-HR"/>
        </w:rPr>
        <w:t>snažniji</w:t>
      </w:r>
      <w:r>
        <w:rPr>
          <w:color w:val="212121"/>
          <w:szCs w:val="28"/>
          <w:shd w:val="clear" w:color="auto" w:fill="FFFFFF"/>
          <w:lang w:val="hr-HR"/>
        </w:rPr>
        <w:t xml:space="preserve"> inhibitor (prikazan na slici 1</w:t>
      </w:r>
      <w:r w:rsidR="00035AAE">
        <w:rPr>
          <w:color w:val="212121"/>
          <w:szCs w:val="28"/>
          <w:shd w:val="clear" w:color="auto" w:fill="FFFFFF"/>
          <w:lang w:val="hr-HR"/>
        </w:rPr>
        <w:t>6</w:t>
      </w:r>
      <w:r>
        <w:rPr>
          <w:color w:val="212121"/>
          <w:szCs w:val="28"/>
          <w:shd w:val="clear" w:color="auto" w:fill="FFFFFF"/>
          <w:lang w:val="hr-HR"/>
        </w:rPr>
        <w:t xml:space="preserve"> uz oznaku </w:t>
      </w:r>
      <w:r w:rsidRPr="006D25F8">
        <w:rPr>
          <w:b/>
          <w:color w:val="212121"/>
          <w:szCs w:val="28"/>
          <w:shd w:val="clear" w:color="auto" w:fill="FFFFFF"/>
          <w:lang w:val="hr-HR"/>
        </w:rPr>
        <w:t>2</w:t>
      </w:r>
      <w:r>
        <w:rPr>
          <w:color w:val="212121"/>
          <w:szCs w:val="28"/>
          <w:shd w:val="clear" w:color="auto" w:fill="FFFFFF"/>
          <w:lang w:val="hr-HR"/>
        </w:rPr>
        <w:t>) no bez značajnih farmakodinamičkih prednosti.</w:t>
      </w:r>
      <w:r w:rsidR="00A4207F">
        <w:rPr>
          <w:color w:val="212121"/>
          <w:szCs w:val="28"/>
          <w:shd w:val="clear" w:color="auto" w:fill="FFFFFF"/>
          <w:vertAlign w:val="superscript"/>
          <w:lang w:val="hr-HR"/>
        </w:rPr>
        <w:t>3</w:t>
      </w:r>
      <w:r w:rsidR="00035AAE">
        <w:rPr>
          <w:color w:val="212121"/>
          <w:szCs w:val="28"/>
          <w:shd w:val="clear" w:color="auto" w:fill="FFFFFF"/>
          <w:vertAlign w:val="superscript"/>
          <w:lang w:val="hr-HR"/>
        </w:rPr>
        <w:t>7</w:t>
      </w:r>
    </w:p>
    <w:p w14:paraId="0AC881DB" w14:textId="77777777" w:rsidR="00FF5920" w:rsidRDefault="00FF5920" w:rsidP="00FF5920">
      <w:pPr>
        <w:spacing w:line="360" w:lineRule="auto"/>
        <w:ind w:left="360"/>
        <w:jc w:val="center"/>
        <w:rPr>
          <w:color w:val="212121"/>
          <w:szCs w:val="28"/>
          <w:shd w:val="clear" w:color="auto" w:fill="FFFFFF"/>
          <w:lang w:val="hr-HR"/>
        </w:rPr>
      </w:pPr>
      <w:r>
        <w:rPr>
          <w:noProof/>
          <w:color w:val="212121"/>
          <w:szCs w:val="28"/>
          <w:shd w:val="clear" w:color="auto" w:fill="FFFFFF"/>
          <w:lang w:val="hr-HR"/>
        </w:rPr>
        <w:drawing>
          <wp:inline distT="0" distB="0" distL="0" distR="0" wp14:anchorId="5EF459EF" wp14:editId="5F2B0D39">
            <wp:extent cx="3952875" cy="20661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rbamini.PNG"/>
                    <pic:cNvPicPr/>
                  </pic:nvPicPr>
                  <pic:blipFill>
                    <a:blip r:embed="rId31">
                      <a:extLst>
                        <a:ext uri="{28A0092B-C50C-407E-A947-70E740481C1C}">
                          <a14:useLocalDpi xmlns:a14="http://schemas.microsoft.com/office/drawing/2010/main" val="0"/>
                        </a:ext>
                      </a:extLst>
                    </a:blip>
                    <a:stretch>
                      <a:fillRect/>
                    </a:stretch>
                  </pic:blipFill>
                  <pic:spPr>
                    <a:xfrm>
                      <a:off x="0" y="0"/>
                      <a:ext cx="4008148" cy="2095002"/>
                    </a:xfrm>
                    <a:prstGeom prst="rect">
                      <a:avLst/>
                    </a:prstGeom>
                  </pic:spPr>
                </pic:pic>
              </a:graphicData>
            </a:graphic>
          </wp:inline>
        </w:drawing>
      </w:r>
    </w:p>
    <w:p w14:paraId="492A5B4A" w14:textId="75CA2E27" w:rsidR="00FF5920" w:rsidRDefault="00FF5920" w:rsidP="00FF5920">
      <w:pPr>
        <w:spacing w:line="360" w:lineRule="auto"/>
        <w:ind w:left="360"/>
        <w:jc w:val="center"/>
        <w:rPr>
          <w:color w:val="212121"/>
          <w:szCs w:val="28"/>
          <w:shd w:val="clear" w:color="auto" w:fill="FFFFFF"/>
          <w:lang w:val="hr-HR"/>
        </w:rPr>
      </w:pPr>
      <w:r>
        <w:rPr>
          <w:color w:val="212121"/>
          <w:szCs w:val="28"/>
          <w:shd w:val="clear" w:color="auto" w:fill="FFFFFF"/>
          <w:lang w:val="hr-HR"/>
        </w:rPr>
        <w:t>Slika 1</w:t>
      </w:r>
      <w:r w:rsidR="00035AAE">
        <w:rPr>
          <w:color w:val="212121"/>
          <w:szCs w:val="28"/>
          <w:shd w:val="clear" w:color="auto" w:fill="FFFFFF"/>
          <w:lang w:val="hr-HR"/>
        </w:rPr>
        <w:t>6</w:t>
      </w:r>
      <w:r>
        <w:rPr>
          <w:color w:val="212121"/>
          <w:szCs w:val="28"/>
          <w:shd w:val="clear" w:color="auto" w:fill="FFFFFF"/>
          <w:lang w:val="hr-HR"/>
        </w:rPr>
        <w:t>. Karbinaminski inhibitori β-sekretaza. (</w:t>
      </w:r>
      <w:r w:rsidR="005F6664">
        <w:rPr>
          <w:color w:val="212121"/>
          <w:szCs w:val="28"/>
          <w:shd w:val="clear" w:color="auto" w:fill="FFFFFF"/>
          <w:lang w:val="hr-HR"/>
        </w:rPr>
        <w:t xml:space="preserve">preuzeto iz </w:t>
      </w:r>
      <w:r>
        <w:rPr>
          <w:color w:val="212121"/>
          <w:szCs w:val="28"/>
          <w:shd w:val="clear" w:color="auto" w:fill="FFFFFF"/>
          <w:lang w:val="hr-HR"/>
        </w:rPr>
        <w:t>referenc</w:t>
      </w:r>
      <w:r w:rsidR="005F6664">
        <w:rPr>
          <w:color w:val="212121"/>
          <w:szCs w:val="28"/>
          <w:shd w:val="clear" w:color="auto" w:fill="FFFFFF"/>
          <w:lang w:val="hr-HR"/>
        </w:rPr>
        <w:t>e</w:t>
      </w:r>
      <w:r>
        <w:rPr>
          <w:color w:val="212121"/>
          <w:szCs w:val="28"/>
          <w:shd w:val="clear" w:color="auto" w:fill="FFFFFF"/>
          <w:lang w:val="hr-HR"/>
        </w:rPr>
        <w:t xml:space="preserve"> </w:t>
      </w:r>
      <w:r w:rsidR="005F6664">
        <w:rPr>
          <w:b/>
          <w:color w:val="212121"/>
          <w:szCs w:val="28"/>
          <w:shd w:val="clear" w:color="auto" w:fill="FFFFFF"/>
          <w:lang w:val="hr-HR"/>
        </w:rPr>
        <w:t>3</w:t>
      </w:r>
      <w:r w:rsidR="00035AAE">
        <w:rPr>
          <w:b/>
          <w:color w:val="212121"/>
          <w:szCs w:val="28"/>
          <w:shd w:val="clear" w:color="auto" w:fill="FFFFFF"/>
          <w:lang w:val="hr-HR"/>
        </w:rPr>
        <w:t>7</w:t>
      </w:r>
      <w:r>
        <w:rPr>
          <w:color w:val="212121"/>
          <w:szCs w:val="28"/>
          <w:shd w:val="clear" w:color="auto" w:fill="FFFFFF"/>
          <w:lang w:val="hr-HR"/>
        </w:rPr>
        <w:t>)</w:t>
      </w:r>
    </w:p>
    <w:p w14:paraId="78FD1094" w14:textId="77777777" w:rsidR="00CA2571" w:rsidRPr="006D25F8" w:rsidRDefault="00CA2571" w:rsidP="00FF5920">
      <w:pPr>
        <w:spacing w:line="360" w:lineRule="auto"/>
        <w:ind w:left="360"/>
        <w:jc w:val="center"/>
        <w:rPr>
          <w:color w:val="212121"/>
          <w:szCs w:val="28"/>
          <w:shd w:val="clear" w:color="auto" w:fill="FFFFFF"/>
          <w:lang w:val="hr-HR"/>
        </w:rPr>
      </w:pPr>
    </w:p>
    <w:p w14:paraId="1F71F0C8" w14:textId="77777777" w:rsidR="00FF5920" w:rsidRDefault="006A7D3D" w:rsidP="00257222">
      <w:pPr>
        <w:pStyle w:val="OCJENSKIRADOVI3Podpodnaslovpoglavlja"/>
        <w:outlineLvl w:val="2"/>
      </w:pPr>
      <w:bookmarkStart w:id="30" w:name="_Toc101271724"/>
      <w:r>
        <w:t>Makrociklički</w:t>
      </w:r>
      <w:r w:rsidR="00FF5920">
        <w:t xml:space="preserve"> inhibitori</w:t>
      </w:r>
      <w:bookmarkEnd w:id="30"/>
    </w:p>
    <w:p w14:paraId="712EFB99" w14:textId="5B05A51B" w:rsidR="00FF5920" w:rsidRPr="00A4207F" w:rsidRDefault="00FF5920" w:rsidP="00FF5920">
      <w:pPr>
        <w:spacing w:line="360" w:lineRule="auto"/>
        <w:jc w:val="both"/>
        <w:rPr>
          <w:color w:val="212121"/>
          <w:szCs w:val="28"/>
          <w:shd w:val="clear" w:color="auto" w:fill="FFFFFF"/>
          <w:vertAlign w:val="superscript"/>
          <w:lang w:val="hr-HR"/>
        </w:rPr>
      </w:pPr>
      <w:r>
        <w:rPr>
          <w:color w:val="212121"/>
          <w:szCs w:val="28"/>
          <w:shd w:val="clear" w:color="auto" w:fill="FFFFFF"/>
          <w:lang w:val="hr-HR"/>
        </w:rPr>
        <w:t>Makrociklizacija je jedna od metoda stabilizacije bioaktivnih konformacija. Budući da su P1 arilna skupina i P3 metilna skupina karb</w:t>
      </w:r>
      <w:r w:rsidR="00946483">
        <w:rPr>
          <w:color w:val="212121"/>
          <w:szCs w:val="28"/>
          <w:shd w:val="clear" w:color="auto" w:fill="FFFFFF"/>
          <w:lang w:val="hr-HR"/>
        </w:rPr>
        <w:t>in</w:t>
      </w:r>
      <w:r>
        <w:rPr>
          <w:color w:val="212121"/>
          <w:szCs w:val="28"/>
          <w:shd w:val="clear" w:color="auto" w:fill="FFFFFF"/>
          <w:lang w:val="hr-HR"/>
        </w:rPr>
        <w:t>aminskih inhibitora prostorno blizu, jedan od načina stabilizacije konformacije kao i poboljšanja fizikalno</w:t>
      </w:r>
      <w:r w:rsidR="00FB62CB">
        <w:rPr>
          <w:color w:val="212121"/>
          <w:szCs w:val="28"/>
          <w:shd w:val="clear" w:color="auto" w:fill="FFFFFF"/>
          <w:lang w:val="hr-HR"/>
        </w:rPr>
        <w:t>-</w:t>
      </w:r>
      <w:r>
        <w:rPr>
          <w:color w:val="212121"/>
          <w:szCs w:val="28"/>
          <w:shd w:val="clear" w:color="auto" w:fill="FFFFFF"/>
          <w:lang w:val="hr-HR"/>
        </w:rPr>
        <w:t>kemijskih svojstava inhibitora je ciklizacija strukture te priprava makrocikličkih etera i makrolaktona. Jedan od takvih spojeva prikazan je na slici 1</w:t>
      </w:r>
      <w:r w:rsidR="00035AAE">
        <w:rPr>
          <w:color w:val="212121"/>
          <w:szCs w:val="28"/>
          <w:shd w:val="clear" w:color="auto" w:fill="FFFFFF"/>
          <w:lang w:val="hr-HR"/>
        </w:rPr>
        <w:t>7</w:t>
      </w:r>
      <w:r>
        <w:rPr>
          <w:color w:val="212121"/>
          <w:szCs w:val="28"/>
          <w:shd w:val="clear" w:color="auto" w:fill="FFFFFF"/>
          <w:lang w:val="hr-HR"/>
        </w:rPr>
        <w:t>.</w:t>
      </w:r>
      <w:r w:rsidR="00A4207F">
        <w:rPr>
          <w:color w:val="212121"/>
          <w:szCs w:val="28"/>
          <w:shd w:val="clear" w:color="auto" w:fill="FFFFFF"/>
          <w:vertAlign w:val="superscript"/>
          <w:lang w:val="hr-HR"/>
        </w:rPr>
        <w:t>3</w:t>
      </w:r>
      <w:r w:rsidR="00035AAE">
        <w:rPr>
          <w:color w:val="212121"/>
          <w:szCs w:val="28"/>
          <w:shd w:val="clear" w:color="auto" w:fill="FFFFFF"/>
          <w:vertAlign w:val="superscript"/>
          <w:lang w:val="hr-HR"/>
        </w:rPr>
        <w:t>7</w:t>
      </w:r>
    </w:p>
    <w:p w14:paraId="32771FB5" w14:textId="77777777" w:rsidR="00FF5920" w:rsidRDefault="00FF5920" w:rsidP="00FF5920">
      <w:pPr>
        <w:spacing w:line="360" w:lineRule="auto"/>
        <w:ind w:left="360"/>
        <w:jc w:val="center"/>
        <w:rPr>
          <w:color w:val="212121"/>
          <w:szCs w:val="28"/>
          <w:shd w:val="clear" w:color="auto" w:fill="FFFFFF"/>
          <w:lang w:val="hr-HR"/>
        </w:rPr>
      </w:pPr>
      <w:r>
        <w:rPr>
          <w:noProof/>
          <w:color w:val="212121"/>
          <w:szCs w:val="28"/>
          <w:shd w:val="clear" w:color="auto" w:fill="FFFFFF"/>
          <w:lang w:val="hr-HR"/>
        </w:rPr>
        <w:drawing>
          <wp:inline distT="0" distB="0" distL="0" distR="0" wp14:anchorId="11A73706" wp14:editId="56F6A98F">
            <wp:extent cx="3800895" cy="2933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krocikli.PNG"/>
                    <pic:cNvPicPr/>
                  </pic:nvPicPr>
                  <pic:blipFill>
                    <a:blip r:embed="rId32">
                      <a:extLst>
                        <a:ext uri="{28A0092B-C50C-407E-A947-70E740481C1C}">
                          <a14:useLocalDpi xmlns:a14="http://schemas.microsoft.com/office/drawing/2010/main" val="0"/>
                        </a:ext>
                      </a:extLst>
                    </a:blip>
                    <a:stretch>
                      <a:fillRect/>
                    </a:stretch>
                  </pic:blipFill>
                  <pic:spPr>
                    <a:xfrm>
                      <a:off x="0" y="0"/>
                      <a:ext cx="3843557" cy="2966628"/>
                    </a:xfrm>
                    <a:prstGeom prst="rect">
                      <a:avLst/>
                    </a:prstGeom>
                  </pic:spPr>
                </pic:pic>
              </a:graphicData>
            </a:graphic>
          </wp:inline>
        </w:drawing>
      </w:r>
    </w:p>
    <w:p w14:paraId="1F0837CD" w14:textId="726C2520" w:rsidR="00FF5920" w:rsidRDefault="00FF5920" w:rsidP="00944806">
      <w:pPr>
        <w:spacing w:line="360" w:lineRule="auto"/>
        <w:ind w:left="360"/>
        <w:jc w:val="center"/>
        <w:rPr>
          <w:color w:val="212121"/>
          <w:szCs w:val="28"/>
          <w:shd w:val="clear" w:color="auto" w:fill="FFFFFF"/>
          <w:lang w:val="hr-HR"/>
        </w:rPr>
      </w:pPr>
      <w:r>
        <w:rPr>
          <w:color w:val="212121"/>
          <w:szCs w:val="28"/>
          <w:shd w:val="clear" w:color="auto" w:fill="FFFFFF"/>
          <w:lang w:val="hr-HR"/>
        </w:rPr>
        <w:t>Slika 1</w:t>
      </w:r>
      <w:r w:rsidR="00035AAE">
        <w:rPr>
          <w:color w:val="212121"/>
          <w:szCs w:val="28"/>
          <w:shd w:val="clear" w:color="auto" w:fill="FFFFFF"/>
          <w:lang w:val="hr-HR"/>
        </w:rPr>
        <w:t>7</w:t>
      </w:r>
      <w:r>
        <w:rPr>
          <w:color w:val="212121"/>
          <w:szCs w:val="28"/>
          <w:shd w:val="clear" w:color="auto" w:fill="FFFFFF"/>
          <w:lang w:val="hr-HR"/>
        </w:rPr>
        <w:t>. Primjer makrocikličkog inhibitora β-sekretaze. (</w:t>
      </w:r>
      <w:r w:rsidR="00E515CB">
        <w:rPr>
          <w:color w:val="212121"/>
          <w:szCs w:val="28"/>
          <w:shd w:val="clear" w:color="auto" w:fill="FFFFFF"/>
          <w:lang w:val="hr-HR"/>
        </w:rPr>
        <w:t xml:space="preserve">preuzeto iz </w:t>
      </w:r>
      <w:r>
        <w:rPr>
          <w:color w:val="212121"/>
          <w:szCs w:val="28"/>
          <w:shd w:val="clear" w:color="auto" w:fill="FFFFFF"/>
          <w:lang w:val="hr-HR"/>
        </w:rPr>
        <w:t>referenc</w:t>
      </w:r>
      <w:r w:rsidR="00E515CB">
        <w:rPr>
          <w:color w:val="212121"/>
          <w:szCs w:val="28"/>
          <w:shd w:val="clear" w:color="auto" w:fill="FFFFFF"/>
          <w:lang w:val="hr-HR"/>
        </w:rPr>
        <w:t>e</w:t>
      </w:r>
      <w:r>
        <w:rPr>
          <w:color w:val="212121"/>
          <w:szCs w:val="28"/>
          <w:shd w:val="clear" w:color="auto" w:fill="FFFFFF"/>
          <w:lang w:val="hr-HR"/>
        </w:rPr>
        <w:t xml:space="preserve"> </w:t>
      </w:r>
      <w:r w:rsidR="00E515CB">
        <w:rPr>
          <w:b/>
          <w:color w:val="212121"/>
          <w:szCs w:val="28"/>
          <w:shd w:val="clear" w:color="auto" w:fill="FFFFFF"/>
          <w:lang w:val="hr-HR"/>
        </w:rPr>
        <w:t>3</w:t>
      </w:r>
      <w:r w:rsidR="00035AAE">
        <w:rPr>
          <w:b/>
          <w:color w:val="212121"/>
          <w:szCs w:val="28"/>
          <w:shd w:val="clear" w:color="auto" w:fill="FFFFFF"/>
          <w:lang w:val="hr-HR"/>
        </w:rPr>
        <w:t>7</w:t>
      </w:r>
      <w:r>
        <w:rPr>
          <w:color w:val="212121"/>
          <w:szCs w:val="28"/>
          <w:shd w:val="clear" w:color="auto" w:fill="FFFFFF"/>
          <w:lang w:val="hr-HR"/>
        </w:rPr>
        <w:t>)</w:t>
      </w:r>
    </w:p>
    <w:p w14:paraId="19516D2C" w14:textId="77777777" w:rsidR="00114E64" w:rsidRDefault="00114E64" w:rsidP="00944806">
      <w:pPr>
        <w:spacing w:line="360" w:lineRule="auto"/>
        <w:ind w:left="360"/>
        <w:jc w:val="center"/>
        <w:rPr>
          <w:color w:val="212121"/>
          <w:szCs w:val="28"/>
          <w:shd w:val="clear" w:color="auto" w:fill="FFFFFF"/>
          <w:lang w:val="hr-HR"/>
        </w:rPr>
      </w:pPr>
    </w:p>
    <w:p w14:paraId="63D5DF37" w14:textId="77777777" w:rsidR="00FF5920" w:rsidRDefault="00944806" w:rsidP="00FF5920">
      <w:pPr>
        <w:pStyle w:val="OCJENSKIRADOVI2Podnaslovpoglavlja"/>
      </w:pPr>
      <w:bookmarkStart w:id="31" w:name="_Toc101271725"/>
      <w:r>
        <w:lastRenderedPageBreak/>
        <w:t>Nepeptidni</w:t>
      </w:r>
      <w:r w:rsidR="00FF5920">
        <w:t xml:space="preserve"> inhibitori</w:t>
      </w:r>
      <w:bookmarkEnd w:id="31"/>
    </w:p>
    <w:p w14:paraId="1EE11D98" w14:textId="5E805016" w:rsidR="00944806" w:rsidRPr="00A4207F" w:rsidRDefault="00944806" w:rsidP="00944806">
      <w:pPr>
        <w:spacing w:line="360" w:lineRule="auto"/>
        <w:jc w:val="both"/>
        <w:rPr>
          <w:vertAlign w:val="superscript"/>
          <w:lang w:val="hr-HR"/>
        </w:rPr>
      </w:pPr>
      <w:r>
        <w:rPr>
          <w:lang w:val="hr-HR"/>
        </w:rPr>
        <w:t>Nedostatak peptidomimetika kao inhibitora β-sekretaza je taj što nemaju dobra farmakološka svojstva poput biodostupnosti nakon oralne konzumacije, metaboličke stabilnosti te sposobnost penetracije kroz BBB. Navedena svojstva uočena su samo kod nekih HEA inhibitora (GSK 188909 i GRL-8234) no oni pak nisu pokazivali dobru selektivnost naspram BACE-2 i katepsina D.</w:t>
      </w:r>
      <w:r w:rsidR="00035AAE">
        <w:rPr>
          <w:vertAlign w:val="superscript"/>
          <w:lang w:val="hr-HR"/>
        </w:rPr>
        <w:t>35</w:t>
      </w:r>
      <w:r>
        <w:rPr>
          <w:lang w:val="hr-HR"/>
        </w:rPr>
        <w:t xml:space="preserve"> Uz modifikaciju opisanih peptidomimetika znanstveni svijet okrenuo se </w:t>
      </w:r>
      <w:r w:rsidR="00FB62CB">
        <w:rPr>
          <w:lang w:val="hr-HR"/>
        </w:rPr>
        <w:t>r</w:t>
      </w:r>
      <w:r>
        <w:rPr>
          <w:lang w:val="hr-HR"/>
        </w:rPr>
        <w:t xml:space="preserve">azvoju malih nepeptidnih inhibitora koji kao okosnicu sadrže karbinamin, acilgvanidin, aminotiazin ili </w:t>
      </w:r>
      <w:r w:rsidR="00FB62CB">
        <w:rPr>
          <w:lang w:val="hr-HR"/>
        </w:rPr>
        <w:t>aminokinazolin</w:t>
      </w:r>
      <w:r>
        <w:rPr>
          <w:lang w:val="hr-HR"/>
        </w:rPr>
        <w:t xml:space="preserve"> te inhibiraju β-sekretaze interakcijom s katalitičkim aspartatom. Ova klasa potencijalnih lijekova pokazala je zadovoljavajuću sposobnost inhibicije kao i dobra farmakokinetička svojstva te mogućnost prolaska kroz BBB u animalnim modelima.</w:t>
      </w:r>
      <w:r w:rsidR="00035AAE">
        <w:rPr>
          <w:vertAlign w:val="superscript"/>
          <w:lang w:val="hr-HR"/>
        </w:rPr>
        <w:t>35</w:t>
      </w:r>
    </w:p>
    <w:p w14:paraId="3D39172D" w14:textId="77777777" w:rsidR="00FF5920" w:rsidRDefault="00FF5920" w:rsidP="00FF5920">
      <w:pPr>
        <w:pStyle w:val="OCJENSKIRADOVIOdlomak3NASTAVAKODLOMKA"/>
      </w:pPr>
    </w:p>
    <w:p w14:paraId="523AF3B6" w14:textId="77777777" w:rsidR="00944806" w:rsidRPr="007A588A" w:rsidRDefault="00944806" w:rsidP="00257222">
      <w:pPr>
        <w:pStyle w:val="OCJENSKIRADOVI3Podpodnaslovpoglavlja"/>
        <w:outlineLvl w:val="2"/>
      </w:pPr>
      <w:bookmarkStart w:id="32" w:name="_Toc101271726"/>
      <w:r w:rsidRPr="007A588A">
        <w:t>Inhibitori s acilgvanidinskom okosnicom</w:t>
      </w:r>
      <w:bookmarkEnd w:id="32"/>
    </w:p>
    <w:p w14:paraId="3AA46934" w14:textId="41844568" w:rsidR="00944806" w:rsidRPr="00A4207F" w:rsidRDefault="00944806" w:rsidP="00944806">
      <w:pPr>
        <w:spacing w:line="360" w:lineRule="auto"/>
        <w:jc w:val="both"/>
        <w:rPr>
          <w:vertAlign w:val="superscript"/>
          <w:lang w:val="hr-HR"/>
        </w:rPr>
      </w:pPr>
      <w:r>
        <w:rPr>
          <w:lang w:val="hr-HR"/>
        </w:rPr>
        <w:t>Probirom visoke propusnosti (</w:t>
      </w:r>
      <w:r w:rsidRPr="00C27BE7">
        <w:rPr>
          <w:i/>
        </w:rPr>
        <w:t>high-throughput screening</w:t>
      </w:r>
      <w:r>
        <w:t>, HTS) otkriven je potencijalni inhibitor β-sekretaza s acilgvanidinskom bazom (slika 1</w:t>
      </w:r>
      <w:r w:rsidR="00035AAE">
        <w:t>8</w:t>
      </w:r>
      <w:r>
        <w:t xml:space="preserve">). </w:t>
      </w:r>
      <w:r w:rsidRPr="00C27BE7">
        <w:rPr>
          <w:i/>
          <w:lang w:val="hr-HR"/>
        </w:rPr>
        <w:t>N</w:t>
      </w:r>
      <w:r>
        <w:t xml:space="preserve">-acilgvanidin inhibitora uspostavlja vodikove veze s katalitičkim aspartatima </w:t>
      </w:r>
      <w:r>
        <w:rPr>
          <w:lang w:val="hr-HR"/>
        </w:rPr>
        <w:t>u aktivnom mjestu enzima, a supstituenti na gvanidinskom dušiku sjedaju u S1' podjedinicu enzima, gdje ostvaruju vodikove veze s bočnim ograncima Arg235 i Thr329. Pirolni prsten ostvaruje π-interakcije s Tyr71 koji se nalazi u „preklopu“ koji djelomično zatvara aktivno mjesto. Za razliku od većine peptidomimetika, ovaj inhibitor stabilizira enzim u otvorenoj konformaciji. Nedostatak ovog tipa inhibitora je što pokazuje vrlo slabu selektivnost naspram BACE-2 te lošu permeabilnost.</w:t>
      </w:r>
      <w:r w:rsidR="00A4207F">
        <w:rPr>
          <w:vertAlign w:val="superscript"/>
          <w:lang w:val="hr-HR"/>
        </w:rPr>
        <w:t>3</w:t>
      </w:r>
      <w:r w:rsidR="00035AAE">
        <w:rPr>
          <w:vertAlign w:val="superscript"/>
          <w:lang w:val="hr-HR"/>
        </w:rPr>
        <w:t>7</w:t>
      </w:r>
    </w:p>
    <w:p w14:paraId="5064D2CC" w14:textId="77777777" w:rsidR="00944806" w:rsidRDefault="00944806" w:rsidP="00944806">
      <w:pPr>
        <w:spacing w:line="360" w:lineRule="auto"/>
        <w:ind w:left="360"/>
        <w:jc w:val="center"/>
        <w:rPr>
          <w:lang w:val="hr-HR"/>
        </w:rPr>
      </w:pPr>
      <w:r>
        <w:rPr>
          <w:noProof/>
        </w:rPr>
        <w:drawing>
          <wp:inline distT="0" distB="0" distL="0" distR="0" wp14:anchorId="4FD3BE9F" wp14:editId="0944B447">
            <wp:extent cx="3708988" cy="27622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ilgvanidin.PNG"/>
                    <pic:cNvPicPr/>
                  </pic:nvPicPr>
                  <pic:blipFill>
                    <a:blip r:embed="rId33">
                      <a:extLst>
                        <a:ext uri="{28A0092B-C50C-407E-A947-70E740481C1C}">
                          <a14:useLocalDpi xmlns:a14="http://schemas.microsoft.com/office/drawing/2010/main" val="0"/>
                        </a:ext>
                      </a:extLst>
                    </a:blip>
                    <a:stretch>
                      <a:fillRect/>
                    </a:stretch>
                  </pic:blipFill>
                  <pic:spPr>
                    <a:xfrm>
                      <a:off x="0" y="0"/>
                      <a:ext cx="3724150" cy="2773542"/>
                    </a:xfrm>
                    <a:prstGeom prst="rect">
                      <a:avLst/>
                    </a:prstGeom>
                  </pic:spPr>
                </pic:pic>
              </a:graphicData>
            </a:graphic>
          </wp:inline>
        </w:drawing>
      </w:r>
    </w:p>
    <w:p w14:paraId="46F7ACF5" w14:textId="78BEB03C" w:rsidR="00944806" w:rsidRDefault="00944806" w:rsidP="00944806">
      <w:pPr>
        <w:spacing w:line="360" w:lineRule="auto"/>
        <w:ind w:left="360"/>
        <w:jc w:val="center"/>
        <w:rPr>
          <w:lang w:val="hr-HR"/>
        </w:rPr>
      </w:pPr>
      <w:r>
        <w:rPr>
          <w:lang w:val="hr-HR"/>
        </w:rPr>
        <w:t>Slika 1</w:t>
      </w:r>
      <w:r w:rsidR="00035AAE">
        <w:rPr>
          <w:lang w:val="hr-HR"/>
        </w:rPr>
        <w:t>8</w:t>
      </w:r>
      <w:r>
        <w:rPr>
          <w:lang w:val="hr-HR"/>
        </w:rPr>
        <w:t>. Inhibitor β-sekretaze baziran na acilgvanidinu. (</w:t>
      </w:r>
      <w:r w:rsidR="0042425C">
        <w:rPr>
          <w:lang w:val="hr-HR"/>
        </w:rPr>
        <w:t xml:space="preserve">preuzeto iz </w:t>
      </w:r>
      <w:r>
        <w:rPr>
          <w:lang w:val="hr-HR"/>
        </w:rPr>
        <w:t>referenc</w:t>
      </w:r>
      <w:r w:rsidR="0042425C">
        <w:rPr>
          <w:lang w:val="hr-HR"/>
        </w:rPr>
        <w:t>e</w:t>
      </w:r>
      <w:r>
        <w:rPr>
          <w:lang w:val="hr-HR"/>
        </w:rPr>
        <w:t xml:space="preserve"> </w:t>
      </w:r>
      <w:r w:rsidR="0042425C">
        <w:rPr>
          <w:b/>
          <w:lang w:val="hr-HR"/>
        </w:rPr>
        <w:t>3</w:t>
      </w:r>
      <w:r w:rsidR="00035AAE">
        <w:rPr>
          <w:b/>
          <w:lang w:val="hr-HR"/>
        </w:rPr>
        <w:t>7</w:t>
      </w:r>
      <w:r>
        <w:rPr>
          <w:lang w:val="hr-HR"/>
        </w:rPr>
        <w:t>)</w:t>
      </w:r>
    </w:p>
    <w:p w14:paraId="26B30C78" w14:textId="77777777" w:rsidR="00944806" w:rsidRDefault="00944806" w:rsidP="00257222">
      <w:pPr>
        <w:pStyle w:val="OCJENSKIRADOVI3Podpodnaslovpoglavlja"/>
        <w:outlineLvl w:val="2"/>
      </w:pPr>
      <w:bookmarkStart w:id="33" w:name="_Toc101271727"/>
      <w:r>
        <w:lastRenderedPageBreak/>
        <w:t>Inhibitori s a</w:t>
      </w:r>
      <w:r w:rsidR="00B86982">
        <w:t>minokinazolinskom</w:t>
      </w:r>
      <w:r>
        <w:t xml:space="preserve"> okosnicom</w:t>
      </w:r>
      <w:bookmarkEnd w:id="33"/>
    </w:p>
    <w:p w14:paraId="3DF22CCA" w14:textId="3EB7C365" w:rsidR="00B86982" w:rsidRPr="00A4207F" w:rsidRDefault="00B86982" w:rsidP="00B86982">
      <w:pPr>
        <w:spacing w:after="160" w:line="360" w:lineRule="auto"/>
        <w:jc w:val="both"/>
        <w:rPr>
          <w:rFonts w:eastAsia="Calibri"/>
          <w:szCs w:val="22"/>
          <w:vertAlign w:val="superscript"/>
          <w:lang w:val="hr-HR"/>
        </w:rPr>
      </w:pPr>
      <w:r w:rsidRPr="00B86982">
        <w:rPr>
          <w:rFonts w:eastAsia="Calibri"/>
          <w:szCs w:val="22"/>
          <w:lang w:val="hr-HR"/>
        </w:rPr>
        <w:t xml:space="preserve">Aminokinazolini također ostvaruju interakcije s katalitičkim aspartatima. Cikloheksilni prsten spoja </w:t>
      </w:r>
      <w:r w:rsidRPr="00B86982">
        <w:rPr>
          <w:rFonts w:eastAsia="Calibri"/>
          <w:b/>
          <w:szCs w:val="22"/>
          <w:lang w:val="hr-HR"/>
        </w:rPr>
        <w:t xml:space="preserve">1 </w:t>
      </w:r>
      <w:r w:rsidRPr="00B86982">
        <w:rPr>
          <w:rFonts w:eastAsia="Calibri"/>
          <w:szCs w:val="22"/>
          <w:lang w:val="hr-HR"/>
        </w:rPr>
        <w:t>(prikazan na slici 1</w:t>
      </w:r>
      <w:r w:rsidR="00035AAE">
        <w:rPr>
          <w:rFonts w:eastAsia="Calibri"/>
          <w:szCs w:val="22"/>
          <w:lang w:val="hr-HR"/>
        </w:rPr>
        <w:t>9</w:t>
      </w:r>
      <w:r w:rsidRPr="00B86982">
        <w:rPr>
          <w:rFonts w:eastAsia="Calibri"/>
          <w:szCs w:val="22"/>
          <w:lang w:val="hr-HR"/>
        </w:rPr>
        <w:t xml:space="preserve">) smješta se u S1 podjedinicu aktivnog mjesta te stabilizira otvorenu konformaciju enzima. Optimizacijom navedenog spoja dobiven je vrlo potentan inhibitor </w:t>
      </w:r>
      <w:r w:rsidRPr="00B86982">
        <w:rPr>
          <w:rFonts w:eastAsia="Calibri"/>
          <w:b/>
          <w:szCs w:val="22"/>
          <w:lang w:val="hr-HR"/>
        </w:rPr>
        <w:t xml:space="preserve">2 </w:t>
      </w:r>
      <w:r w:rsidRPr="00B86982">
        <w:rPr>
          <w:rFonts w:eastAsia="Calibri"/>
          <w:szCs w:val="22"/>
          <w:lang w:val="hr-HR"/>
        </w:rPr>
        <w:t>(slika 1</w:t>
      </w:r>
      <w:r w:rsidR="00035AAE">
        <w:rPr>
          <w:rFonts w:eastAsia="Calibri"/>
          <w:szCs w:val="22"/>
          <w:lang w:val="hr-HR"/>
        </w:rPr>
        <w:t>9</w:t>
      </w:r>
      <w:r w:rsidRPr="00B86982">
        <w:rPr>
          <w:rFonts w:eastAsia="Calibri"/>
          <w:szCs w:val="22"/>
          <w:lang w:val="hr-HR"/>
        </w:rPr>
        <w:t>) koji je umjereno selektivan naspram katepsina D i renina. Oralna konzumacija ovog inhibitora smanjila je razinu Aβ u plazmi štakora za 40 – 70%.</w:t>
      </w:r>
      <w:r w:rsidR="00A4207F">
        <w:rPr>
          <w:rFonts w:eastAsia="Calibri"/>
          <w:szCs w:val="22"/>
          <w:vertAlign w:val="superscript"/>
          <w:lang w:val="hr-HR"/>
        </w:rPr>
        <w:t>3</w:t>
      </w:r>
      <w:r w:rsidR="00035AAE">
        <w:rPr>
          <w:rFonts w:eastAsia="Calibri"/>
          <w:szCs w:val="22"/>
          <w:vertAlign w:val="superscript"/>
          <w:lang w:val="hr-HR"/>
        </w:rPr>
        <w:t>7</w:t>
      </w:r>
    </w:p>
    <w:p w14:paraId="0EAD0905" w14:textId="77777777" w:rsidR="00B86982" w:rsidRPr="00B86982" w:rsidRDefault="00B86982" w:rsidP="00B86982">
      <w:pPr>
        <w:spacing w:after="160" w:line="360" w:lineRule="auto"/>
        <w:ind w:left="360"/>
        <w:jc w:val="center"/>
        <w:rPr>
          <w:rFonts w:eastAsia="Calibri"/>
          <w:szCs w:val="22"/>
          <w:lang w:val="hr-HR"/>
        </w:rPr>
      </w:pPr>
      <w:r w:rsidRPr="00B86982">
        <w:rPr>
          <w:rFonts w:eastAsia="Calibri"/>
          <w:noProof/>
          <w:szCs w:val="22"/>
          <w:lang w:val="hr-HR"/>
        </w:rPr>
        <w:drawing>
          <wp:inline distT="0" distB="0" distL="0" distR="0" wp14:anchorId="2BC4CB74" wp14:editId="37BDFBCE">
            <wp:extent cx="4424626" cy="3228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minokinazolin.PNG"/>
                    <pic:cNvPicPr/>
                  </pic:nvPicPr>
                  <pic:blipFill>
                    <a:blip r:embed="rId34">
                      <a:extLst>
                        <a:ext uri="{28A0092B-C50C-407E-A947-70E740481C1C}">
                          <a14:useLocalDpi xmlns:a14="http://schemas.microsoft.com/office/drawing/2010/main" val="0"/>
                        </a:ext>
                      </a:extLst>
                    </a:blip>
                    <a:stretch>
                      <a:fillRect/>
                    </a:stretch>
                  </pic:blipFill>
                  <pic:spPr>
                    <a:xfrm>
                      <a:off x="0" y="0"/>
                      <a:ext cx="4442083" cy="3241715"/>
                    </a:xfrm>
                    <a:prstGeom prst="rect">
                      <a:avLst/>
                    </a:prstGeom>
                  </pic:spPr>
                </pic:pic>
              </a:graphicData>
            </a:graphic>
          </wp:inline>
        </w:drawing>
      </w:r>
    </w:p>
    <w:p w14:paraId="1F3FAACF" w14:textId="3605945B" w:rsidR="00944806" w:rsidRDefault="00B86982" w:rsidP="00B16102">
      <w:pPr>
        <w:spacing w:after="160" w:line="360" w:lineRule="auto"/>
        <w:ind w:left="360"/>
        <w:jc w:val="center"/>
        <w:rPr>
          <w:rFonts w:eastAsia="Calibri"/>
          <w:szCs w:val="22"/>
          <w:lang w:val="hr-HR"/>
        </w:rPr>
      </w:pPr>
      <w:r w:rsidRPr="00B86982">
        <w:rPr>
          <w:rFonts w:eastAsia="Calibri"/>
          <w:szCs w:val="22"/>
          <w:lang w:val="hr-HR"/>
        </w:rPr>
        <w:t>Slika 1</w:t>
      </w:r>
      <w:r w:rsidR="00035AAE">
        <w:rPr>
          <w:rFonts w:eastAsia="Calibri"/>
          <w:szCs w:val="22"/>
          <w:lang w:val="hr-HR"/>
        </w:rPr>
        <w:t>9</w:t>
      </w:r>
      <w:r w:rsidRPr="00B86982">
        <w:rPr>
          <w:rFonts w:eastAsia="Calibri"/>
          <w:szCs w:val="22"/>
          <w:lang w:val="hr-HR"/>
        </w:rPr>
        <w:t>. Inhibitor β-sekretaze baziran na aminokinazolinu. (</w:t>
      </w:r>
      <w:r w:rsidR="007A588A">
        <w:rPr>
          <w:rFonts w:eastAsia="Calibri"/>
          <w:szCs w:val="22"/>
          <w:lang w:val="hr-HR"/>
        </w:rPr>
        <w:t xml:space="preserve">preuzeto iz </w:t>
      </w:r>
      <w:r w:rsidRPr="00B86982">
        <w:rPr>
          <w:rFonts w:eastAsia="Calibri"/>
          <w:szCs w:val="22"/>
          <w:lang w:val="hr-HR"/>
        </w:rPr>
        <w:t>referenc</w:t>
      </w:r>
      <w:r w:rsidR="007A588A">
        <w:rPr>
          <w:rFonts w:eastAsia="Calibri"/>
          <w:szCs w:val="22"/>
          <w:lang w:val="hr-HR"/>
        </w:rPr>
        <w:t>e</w:t>
      </w:r>
      <w:r w:rsidRPr="00B86982">
        <w:rPr>
          <w:rFonts w:eastAsia="Calibri"/>
          <w:szCs w:val="22"/>
          <w:lang w:val="hr-HR"/>
        </w:rPr>
        <w:t xml:space="preserve"> </w:t>
      </w:r>
      <w:r w:rsidR="007A588A">
        <w:rPr>
          <w:rFonts w:eastAsia="Calibri"/>
          <w:b/>
          <w:szCs w:val="22"/>
          <w:lang w:val="hr-HR"/>
        </w:rPr>
        <w:t>3</w:t>
      </w:r>
      <w:r w:rsidR="00035AAE">
        <w:rPr>
          <w:rFonts w:eastAsia="Calibri"/>
          <w:b/>
          <w:szCs w:val="22"/>
          <w:lang w:val="hr-HR"/>
        </w:rPr>
        <w:t>7</w:t>
      </w:r>
      <w:r w:rsidRPr="00B86982">
        <w:rPr>
          <w:rFonts w:eastAsia="Calibri"/>
          <w:szCs w:val="22"/>
          <w:lang w:val="hr-HR"/>
        </w:rPr>
        <w:t>)</w:t>
      </w:r>
    </w:p>
    <w:p w14:paraId="68887E32" w14:textId="77777777" w:rsidR="007C4412" w:rsidRDefault="007C4412" w:rsidP="00B16102">
      <w:pPr>
        <w:spacing w:after="160" w:line="360" w:lineRule="auto"/>
        <w:ind w:left="360"/>
        <w:jc w:val="center"/>
        <w:rPr>
          <w:rFonts w:eastAsia="Calibri"/>
          <w:szCs w:val="22"/>
          <w:lang w:val="hr-HR"/>
        </w:rPr>
      </w:pPr>
    </w:p>
    <w:p w14:paraId="575E2A71" w14:textId="77777777" w:rsidR="00B86982" w:rsidRDefault="00B86982" w:rsidP="00B86982">
      <w:pPr>
        <w:pStyle w:val="OCJENSKIRADOVI2Podnaslovpoglavlja"/>
      </w:pPr>
      <w:bookmarkStart w:id="34" w:name="_Toc101271728"/>
      <w:bookmarkStart w:id="35" w:name="_Hlk91509188"/>
      <w:r>
        <w:t>Višeciljni inhibitori</w:t>
      </w:r>
      <w:bookmarkEnd w:id="34"/>
    </w:p>
    <w:bookmarkEnd w:id="35"/>
    <w:p w14:paraId="528F0891" w14:textId="42EC521F" w:rsidR="00B86982" w:rsidRPr="00A4207F" w:rsidRDefault="00B86982" w:rsidP="00B86982">
      <w:pPr>
        <w:spacing w:line="360" w:lineRule="auto"/>
        <w:jc w:val="both"/>
        <w:rPr>
          <w:vertAlign w:val="superscript"/>
          <w:lang w:val="hr-HR"/>
        </w:rPr>
      </w:pPr>
      <w:r>
        <w:rPr>
          <w:lang w:val="hr-HR"/>
        </w:rPr>
        <w:t>Neurodegenerativne bolesti, poput Alzheimerove bolesti, su vrlo kompleksne te njihova etiologija uključuje razne pojave, poput akumulacije amiloidnih  plakova Aβ, kolinergičnog deficita i oksidativnog stresa.</w:t>
      </w:r>
      <w:r w:rsidR="00A4207F">
        <w:rPr>
          <w:vertAlign w:val="superscript"/>
          <w:lang w:val="hr-HR"/>
        </w:rPr>
        <w:t>3</w:t>
      </w:r>
      <w:r w:rsidR="00035AAE">
        <w:rPr>
          <w:vertAlign w:val="superscript"/>
          <w:lang w:val="hr-HR"/>
        </w:rPr>
        <w:t>8</w:t>
      </w:r>
      <w:r>
        <w:rPr>
          <w:lang w:val="hr-HR"/>
        </w:rPr>
        <w:t xml:space="preserve"> Nedostatak klasičnih inhibitora jest taj da djeluju na  samo jedan od brojnih uzročnika bolesti te u većini slučajeva njihova primjena rezultira smanjenjem simptoma bolesti, no ne i njihovim potpunim uklanjanjem odnosno izliječenjem. Alternativa klasičnim inhibitorima su višeciljni inhibitori odnosno MTDL (</w:t>
      </w:r>
      <w:r w:rsidRPr="00F50EBE">
        <w:rPr>
          <w:i/>
        </w:rPr>
        <w:t>multi-target-directed ligand</w:t>
      </w:r>
      <w:r>
        <w:t xml:space="preserve">) koji sadrže više </w:t>
      </w:r>
      <w:r>
        <w:rPr>
          <w:lang w:val="hr-HR"/>
        </w:rPr>
        <w:t>različitih farmakofora što im omogućuje da interagiraju s više ciljnih molekula, primjerice s kolinesterazama, peptidima Aβ, endogenim metalnim ionima (Cu</w:t>
      </w:r>
      <w:r w:rsidRPr="00A1262F">
        <w:rPr>
          <w:vertAlign w:val="superscript"/>
          <w:lang w:val="hr-HR"/>
        </w:rPr>
        <w:t>2+</w:t>
      </w:r>
      <w:r>
        <w:rPr>
          <w:lang w:val="hr-HR"/>
        </w:rPr>
        <w:t xml:space="preserve"> ili Fe</w:t>
      </w:r>
      <w:r w:rsidRPr="00A1262F">
        <w:rPr>
          <w:vertAlign w:val="superscript"/>
          <w:lang w:val="hr-HR"/>
        </w:rPr>
        <w:t>2+</w:t>
      </w:r>
      <w:r>
        <w:rPr>
          <w:lang w:val="hr-HR"/>
        </w:rPr>
        <w:t>) te hiperfosforiliranim proteinima τ.</w:t>
      </w:r>
      <w:r w:rsidR="00A4207F">
        <w:rPr>
          <w:vertAlign w:val="superscript"/>
          <w:lang w:val="hr-HR"/>
        </w:rPr>
        <w:t>3</w:t>
      </w:r>
      <w:r w:rsidR="00035AAE">
        <w:rPr>
          <w:vertAlign w:val="superscript"/>
          <w:lang w:val="hr-HR"/>
        </w:rPr>
        <w:t>8</w:t>
      </w:r>
    </w:p>
    <w:p w14:paraId="54488282" w14:textId="6EF45EC6" w:rsidR="00B86982" w:rsidRPr="00A4207F" w:rsidRDefault="00B86982" w:rsidP="006B4B9F">
      <w:pPr>
        <w:spacing w:line="360" w:lineRule="auto"/>
        <w:ind w:firstLine="360"/>
        <w:jc w:val="both"/>
        <w:rPr>
          <w:vertAlign w:val="superscript"/>
          <w:lang w:val="hr-HR"/>
        </w:rPr>
      </w:pPr>
      <w:r>
        <w:rPr>
          <w:lang w:val="hr-HR"/>
        </w:rPr>
        <w:lastRenderedPageBreak/>
        <w:t xml:space="preserve">Primjer takvog inhibitora prikazan je na slici </w:t>
      </w:r>
      <w:r w:rsidR="00035AAE">
        <w:rPr>
          <w:lang w:val="hr-HR"/>
        </w:rPr>
        <w:t>20</w:t>
      </w:r>
      <w:r>
        <w:rPr>
          <w:lang w:val="hr-HR"/>
        </w:rPr>
        <w:t xml:space="preserve">. Okosnicu inhibitora čine kolinergični derivati koji su preko amina vezani na 1,4-benzokinon. Ovaj spoj pokazao se snažnim inhibitorom acetilkolinesteraza, a također može inhibirati i aktivnost β-sekretaza te agregaciju </w:t>
      </w:r>
      <w:r w:rsidR="0030436D">
        <w:rPr>
          <w:lang w:val="hr-HR"/>
        </w:rPr>
        <w:t xml:space="preserve">peptida </w:t>
      </w:r>
      <w:r>
        <w:rPr>
          <w:lang w:val="hr-HR"/>
        </w:rPr>
        <w:t>Aβ, dok benzokinon sprječava nastanak reaktivnih kisikovih spojeva.</w:t>
      </w:r>
      <w:r w:rsidR="00A4207F">
        <w:rPr>
          <w:vertAlign w:val="superscript"/>
          <w:lang w:val="hr-HR"/>
        </w:rPr>
        <w:t>3</w:t>
      </w:r>
      <w:r w:rsidR="00035AAE">
        <w:rPr>
          <w:vertAlign w:val="superscript"/>
          <w:lang w:val="hr-HR"/>
        </w:rPr>
        <w:t>7</w:t>
      </w:r>
      <w:r>
        <w:rPr>
          <w:vertAlign w:val="superscript"/>
          <w:lang w:val="hr-HR"/>
        </w:rPr>
        <w:t xml:space="preserve"> </w:t>
      </w:r>
      <w:r>
        <w:rPr>
          <w:lang w:val="hr-HR"/>
        </w:rPr>
        <w:t>Problem ove vrste inhibitora je velika mogućnost „off-target“ efekta. Što više farmakofora spoj sadrži, to je veća mogućnost da njegovo djelovanje naruši biološke funkcije koje nemaju veze s bolešću koju se želi tretirati, te se stoga ovom problemu treba pristupiti s velikim oprezom.</w:t>
      </w:r>
      <w:r w:rsidR="00A4207F">
        <w:rPr>
          <w:vertAlign w:val="superscript"/>
          <w:lang w:val="hr-HR"/>
        </w:rPr>
        <w:t>3</w:t>
      </w:r>
      <w:r w:rsidR="00035AAE">
        <w:rPr>
          <w:vertAlign w:val="superscript"/>
          <w:lang w:val="hr-HR"/>
        </w:rPr>
        <w:t>8</w:t>
      </w:r>
    </w:p>
    <w:p w14:paraId="7CC39B47" w14:textId="77777777" w:rsidR="00B86982" w:rsidRPr="00EE1B50" w:rsidRDefault="00B86982" w:rsidP="00B86982">
      <w:pPr>
        <w:spacing w:line="360" w:lineRule="auto"/>
        <w:ind w:left="360"/>
        <w:jc w:val="both"/>
        <w:rPr>
          <w:lang w:val="hr-HR"/>
        </w:rPr>
      </w:pPr>
      <w:r>
        <w:rPr>
          <w:lang w:val="hr-HR"/>
        </w:rPr>
        <w:tab/>
      </w:r>
    </w:p>
    <w:p w14:paraId="7728DBC4" w14:textId="77777777" w:rsidR="00B86982" w:rsidRDefault="00B86982" w:rsidP="00B86982">
      <w:pPr>
        <w:spacing w:line="360" w:lineRule="auto"/>
        <w:ind w:left="360"/>
        <w:jc w:val="center"/>
        <w:rPr>
          <w:lang w:val="hr-HR"/>
        </w:rPr>
      </w:pPr>
      <w:r>
        <w:rPr>
          <w:noProof/>
          <w:lang w:val="hr-HR"/>
        </w:rPr>
        <w:drawing>
          <wp:inline distT="0" distB="0" distL="0" distR="0" wp14:anchorId="0E71DF70" wp14:editId="419577BF">
            <wp:extent cx="5943600" cy="13322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tdl.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1332230"/>
                    </a:xfrm>
                    <a:prstGeom prst="rect">
                      <a:avLst/>
                    </a:prstGeom>
                  </pic:spPr>
                </pic:pic>
              </a:graphicData>
            </a:graphic>
          </wp:inline>
        </w:drawing>
      </w:r>
    </w:p>
    <w:p w14:paraId="7583DA79" w14:textId="3A111F26" w:rsidR="00B86982" w:rsidRPr="00564316" w:rsidRDefault="00B86982" w:rsidP="00B86982">
      <w:pPr>
        <w:spacing w:line="360" w:lineRule="auto"/>
        <w:ind w:left="360"/>
        <w:jc w:val="center"/>
        <w:rPr>
          <w:lang w:val="hr-HR"/>
        </w:rPr>
      </w:pPr>
      <w:r>
        <w:rPr>
          <w:lang w:val="hr-HR"/>
        </w:rPr>
        <w:t xml:space="preserve">Slika </w:t>
      </w:r>
      <w:r w:rsidR="00B969A5">
        <w:rPr>
          <w:lang w:val="hr-HR"/>
        </w:rPr>
        <w:t>20</w:t>
      </w:r>
      <w:r>
        <w:rPr>
          <w:lang w:val="hr-HR"/>
        </w:rPr>
        <w:t>. Primjer višeciljnog inhibitora koji djeluje na β-sekretaze. (</w:t>
      </w:r>
      <w:r w:rsidR="006B4B9F">
        <w:rPr>
          <w:lang w:val="hr-HR"/>
        </w:rPr>
        <w:t xml:space="preserve">preuzeto iz </w:t>
      </w:r>
      <w:r>
        <w:rPr>
          <w:lang w:val="hr-HR"/>
        </w:rPr>
        <w:t>referenc</w:t>
      </w:r>
      <w:r w:rsidR="006B4B9F">
        <w:rPr>
          <w:lang w:val="hr-HR"/>
        </w:rPr>
        <w:t>e</w:t>
      </w:r>
      <w:r>
        <w:rPr>
          <w:lang w:val="hr-HR"/>
        </w:rPr>
        <w:t xml:space="preserve"> </w:t>
      </w:r>
      <w:r w:rsidR="006B4B9F">
        <w:rPr>
          <w:b/>
          <w:lang w:val="hr-HR"/>
        </w:rPr>
        <w:t>3</w:t>
      </w:r>
      <w:r w:rsidR="00035AAE">
        <w:rPr>
          <w:b/>
          <w:lang w:val="hr-HR"/>
        </w:rPr>
        <w:t>7</w:t>
      </w:r>
      <w:r>
        <w:rPr>
          <w:lang w:val="hr-HR"/>
        </w:rPr>
        <w:t>)</w:t>
      </w:r>
    </w:p>
    <w:p w14:paraId="5E613FED" w14:textId="77777777" w:rsidR="00944806" w:rsidRDefault="00944806" w:rsidP="00944806">
      <w:pPr>
        <w:rPr>
          <w:lang w:val="hr-HR"/>
        </w:rPr>
      </w:pPr>
    </w:p>
    <w:p w14:paraId="53DE5D8F" w14:textId="77777777" w:rsidR="00B16102" w:rsidRDefault="00B16102" w:rsidP="00944806">
      <w:pPr>
        <w:rPr>
          <w:lang w:val="hr-HR"/>
        </w:rPr>
      </w:pPr>
    </w:p>
    <w:p w14:paraId="14B81776" w14:textId="77777777" w:rsidR="00B16102" w:rsidRDefault="00A10C14" w:rsidP="00944806">
      <w:pPr>
        <w:pStyle w:val="OCJENSKIRADOVI2Podnaslovpoglavlja"/>
      </w:pPr>
      <w:bookmarkStart w:id="36" w:name="_Toc101271729"/>
      <w:r>
        <w:t>Klinička ispitivanja inhibitora β-sekretaze</w:t>
      </w:r>
      <w:bookmarkEnd w:id="36"/>
    </w:p>
    <w:p w14:paraId="7568BB8B" w14:textId="2B18CE79" w:rsidR="00A10C14" w:rsidRDefault="00A10C14" w:rsidP="00A10C14">
      <w:pPr>
        <w:spacing w:line="360" w:lineRule="auto"/>
        <w:jc w:val="both"/>
        <w:rPr>
          <w:lang w:val="hr-HR"/>
        </w:rPr>
      </w:pPr>
      <w:r>
        <w:t xml:space="preserve">Inhibitor CTS-21166 </w:t>
      </w:r>
      <w:r>
        <w:rPr>
          <w:lang w:val="hr-HR"/>
        </w:rPr>
        <w:t>prvi je inhibitor β-</w:t>
      </w:r>
      <w:r w:rsidR="003671C0">
        <w:rPr>
          <w:lang w:val="hr-HR"/>
        </w:rPr>
        <w:t xml:space="preserve">sekretaze </w:t>
      </w:r>
      <w:r>
        <w:rPr>
          <w:lang w:val="hr-HR"/>
        </w:rPr>
        <w:t xml:space="preserve">koji je ušao u fazu I kliničkih ispitivanja lijekova. Ovaj spoj pokazao se </w:t>
      </w:r>
      <w:r w:rsidR="0086426C">
        <w:rPr>
          <w:lang w:val="hr-HR"/>
        </w:rPr>
        <w:t>snažnim</w:t>
      </w:r>
      <w:r>
        <w:rPr>
          <w:lang w:val="hr-HR"/>
        </w:rPr>
        <w:t xml:space="preserve"> inhibitorom β-sekretaza uz dobru selektivnost naspram BACE-2 i katepsina D kod trinaestomjesečnih transgeničnih AD miševa. Nakon primjene inhibitora na miševima u trajanju šest tjedana razina Aβ u mozgu smanjila se za otprilike 30%. Kronična primjena inhibitora nije uzrokovala promjene u mijelinizaciji perifernih živaca miševa. Na temelju ovih rezultata lijek je ušao u fazu I kliničkih ispitivanja gdje je primjenjivan kod mladih i zdravih muškaraca kako bi se evaluirala njegova sigurnost. Primjena lijeka u obliku infuzije i oralno pokazala je da dolazi do smanjenja razine Aβ u plazmi ovisno o koncentraciji primjenjenog inhibitora, uz maksimum inhibicije (80%) koji je postignut pri najvišoj dozi u rasponu od 4 do 8 sati od doziranja.</w:t>
      </w:r>
      <w:r w:rsidR="00602B2D">
        <w:rPr>
          <w:vertAlign w:val="superscript"/>
          <w:lang w:val="hr-HR"/>
        </w:rPr>
        <w:t>35</w:t>
      </w:r>
      <w:r w:rsidR="0086426C">
        <w:rPr>
          <w:lang w:val="hr-HR"/>
        </w:rPr>
        <w:t xml:space="preserve"> </w:t>
      </w:r>
      <w:r w:rsidR="00A375E5">
        <w:rPr>
          <w:lang w:val="hr-HR"/>
        </w:rPr>
        <w:t xml:space="preserve">Koncentracija </w:t>
      </w:r>
      <w:r>
        <w:rPr>
          <w:lang w:val="hr-HR"/>
        </w:rPr>
        <w:t xml:space="preserve">Aβ u plazmi izjednačila se s </w:t>
      </w:r>
      <w:r w:rsidRPr="00A375E5">
        <w:rPr>
          <w:lang w:val="hr-HR"/>
        </w:rPr>
        <w:t>koncentracijama</w:t>
      </w:r>
      <w:r>
        <w:rPr>
          <w:lang w:val="hr-HR"/>
        </w:rPr>
        <w:t xml:space="preserve"> prije primjene inhibitora 144 sati od njegove </w:t>
      </w:r>
      <w:r w:rsidR="003671C0">
        <w:rPr>
          <w:lang w:val="hr-HR"/>
        </w:rPr>
        <w:t>primjene</w:t>
      </w:r>
      <w:r>
        <w:rPr>
          <w:lang w:val="hr-HR"/>
        </w:rPr>
        <w:t xml:space="preserve">. Iako je inhibitor iz seruma gotovo u potpunosti </w:t>
      </w:r>
      <w:r w:rsidR="0010737A">
        <w:rPr>
          <w:lang w:val="hr-HR"/>
        </w:rPr>
        <w:t>potrošen</w:t>
      </w:r>
      <w:r>
        <w:rPr>
          <w:lang w:val="hr-HR"/>
        </w:rPr>
        <w:t xml:space="preserve"> 72 sata nakon njegove administracije, nije došlo do akumulacije proteina APP, što znači da se u  razdoblju inhibicije β-sekretaza razgrađivao </w:t>
      </w:r>
      <w:r>
        <w:rPr>
          <w:lang w:val="hr-HR"/>
        </w:rPr>
        <w:lastRenderedPageBreak/>
        <w:t>alternativnim putem, najvjerojatnije potpomognuto α-sekretazama.</w:t>
      </w:r>
      <w:r w:rsidR="00602B2D">
        <w:rPr>
          <w:vertAlign w:val="superscript"/>
          <w:lang w:val="hr-HR"/>
        </w:rPr>
        <w:t>37</w:t>
      </w:r>
      <w:r w:rsidR="00810B1F">
        <w:rPr>
          <w:lang w:val="hr-HR"/>
        </w:rPr>
        <w:t xml:space="preserve"> U tablici 1 </w:t>
      </w:r>
      <w:r w:rsidR="00C61EC0">
        <w:rPr>
          <w:lang w:val="hr-HR"/>
        </w:rPr>
        <w:t>dan je pregled</w:t>
      </w:r>
      <w:r w:rsidR="00810B1F">
        <w:rPr>
          <w:lang w:val="hr-HR"/>
        </w:rPr>
        <w:t xml:space="preserve"> još neki</w:t>
      </w:r>
      <w:r w:rsidR="00C61EC0">
        <w:rPr>
          <w:lang w:val="hr-HR"/>
        </w:rPr>
        <w:t>h</w:t>
      </w:r>
      <w:r w:rsidR="00810B1F">
        <w:rPr>
          <w:lang w:val="hr-HR"/>
        </w:rPr>
        <w:t xml:space="preserve"> </w:t>
      </w:r>
      <w:r w:rsidR="00C61EC0">
        <w:rPr>
          <w:lang w:val="hr-HR"/>
        </w:rPr>
        <w:t xml:space="preserve">inhibitora β-sekretaze koji su ušli u </w:t>
      </w:r>
      <w:r w:rsidR="00B969A5">
        <w:rPr>
          <w:lang w:val="hr-HR"/>
        </w:rPr>
        <w:t xml:space="preserve">fazu </w:t>
      </w:r>
      <w:r w:rsidR="00C61EC0">
        <w:rPr>
          <w:lang w:val="hr-HR"/>
        </w:rPr>
        <w:t>kliničk</w:t>
      </w:r>
      <w:r w:rsidR="00B969A5">
        <w:rPr>
          <w:lang w:val="hr-HR"/>
        </w:rPr>
        <w:t>ih</w:t>
      </w:r>
      <w:r w:rsidR="00C61EC0">
        <w:rPr>
          <w:lang w:val="hr-HR"/>
        </w:rPr>
        <w:t xml:space="preserve"> ispitivanja.</w:t>
      </w:r>
    </w:p>
    <w:p w14:paraId="4DEFADBE" w14:textId="77777777" w:rsidR="00C61EC0" w:rsidRDefault="00C61EC0" w:rsidP="00A10C14">
      <w:pPr>
        <w:spacing w:line="360" w:lineRule="auto"/>
        <w:jc w:val="both"/>
        <w:rPr>
          <w:lang w:val="hr-HR"/>
        </w:rPr>
      </w:pPr>
    </w:p>
    <w:p w14:paraId="7EE941BD" w14:textId="77777777" w:rsidR="00C61EC0" w:rsidRPr="00C61EC0" w:rsidRDefault="00C61EC0" w:rsidP="00A10C14">
      <w:pPr>
        <w:spacing w:line="360" w:lineRule="auto"/>
        <w:jc w:val="both"/>
        <w:rPr>
          <w:lang w:val="hr-HR"/>
        </w:rPr>
      </w:pPr>
      <w:r>
        <w:rPr>
          <w:lang w:val="hr-HR"/>
        </w:rPr>
        <w:t xml:space="preserve">Tablica 1. Inhibitori β-sekretaze koji su ušli u faze kliničkih ispitivanja lijekova. (slike preuzete sa </w:t>
      </w:r>
      <w:hyperlink r:id="rId36" w:history="1">
        <w:r w:rsidRPr="005A6BE2">
          <w:rPr>
            <w:rStyle w:val="Hyperlink"/>
            <w:sz w:val="24"/>
            <w:szCs w:val="24"/>
            <w:lang w:val="hr-HR"/>
          </w:rPr>
          <w:t>https://go.drugbank.com/drugs</w:t>
        </w:r>
      </w:hyperlink>
      <w:r>
        <w:rPr>
          <w:lang w:val="hr-HR"/>
        </w:rPr>
        <w:t>, datum pristupa 19.4.2022.)</w:t>
      </w:r>
    </w:p>
    <w:tbl>
      <w:tblPr>
        <w:tblStyle w:val="TableGrid"/>
        <w:tblW w:w="11371" w:type="dxa"/>
        <w:jc w:val="center"/>
        <w:tblLook w:val="04A0" w:firstRow="1" w:lastRow="0" w:firstColumn="1" w:lastColumn="0" w:noHBand="0" w:noVBand="1"/>
      </w:tblPr>
      <w:tblGrid>
        <w:gridCol w:w="3212"/>
        <w:gridCol w:w="4020"/>
        <w:gridCol w:w="4139"/>
      </w:tblGrid>
      <w:tr w:rsidR="00810B1F" w14:paraId="1B7984CE" w14:textId="77777777" w:rsidTr="00F41E45">
        <w:trPr>
          <w:trHeight w:val="613"/>
          <w:jc w:val="center"/>
        </w:trPr>
        <w:tc>
          <w:tcPr>
            <w:tcW w:w="0" w:type="auto"/>
          </w:tcPr>
          <w:p w14:paraId="558BE931" w14:textId="77777777" w:rsidR="00810B1F" w:rsidRPr="00725CEA" w:rsidRDefault="00810B1F" w:rsidP="00547F7B">
            <w:pPr>
              <w:jc w:val="center"/>
              <w:rPr>
                <w:b/>
              </w:rPr>
            </w:pPr>
            <w:r w:rsidRPr="00725CEA">
              <w:rPr>
                <w:b/>
              </w:rPr>
              <w:t>Naziv inhibitora</w:t>
            </w:r>
          </w:p>
        </w:tc>
        <w:tc>
          <w:tcPr>
            <w:tcW w:w="0" w:type="auto"/>
          </w:tcPr>
          <w:p w14:paraId="737DEE9D" w14:textId="77777777" w:rsidR="00810B1F" w:rsidRPr="00725CEA" w:rsidRDefault="00810B1F" w:rsidP="00547F7B">
            <w:pPr>
              <w:jc w:val="center"/>
              <w:rPr>
                <w:b/>
              </w:rPr>
            </w:pPr>
            <w:r w:rsidRPr="00725CEA">
              <w:rPr>
                <w:b/>
              </w:rPr>
              <w:t>Struktura spoja</w:t>
            </w:r>
          </w:p>
        </w:tc>
        <w:tc>
          <w:tcPr>
            <w:tcW w:w="4139" w:type="dxa"/>
          </w:tcPr>
          <w:p w14:paraId="4137F9DE" w14:textId="77777777" w:rsidR="00810B1F" w:rsidRPr="00725CEA" w:rsidRDefault="00810B1F" w:rsidP="00547F7B">
            <w:pPr>
              <w:jc w:val="center"/>
              <w:rPr>
                <w:b/>
              </w:rPr>
            </w:pPr>
            <w:r w:rsidRPr="00725CEA">
              <w:rPr>
                <w:b/>
              </w:rPr>
              <w:t>Klinička ispitivanja</w:t>
            </w:r>
          </w:p>
        </w:tc>
      </w:tr>
      <w:tr w:rsidR="00810B1F" w14:paraId="1CE4039C" w14:textId="77777777" w:rsidTr="00F41E45">
        <w:trPr>
          <w:trHeight w:val="1282"/>
          <w:jc w:val="center"/>
        </w:trPr>
        <w:tc>
          <w:tcPr>
            <w:tcW w:w="3212" w:type="dxa"/>
          </w:tcPr>
          <w:p w14:paraId="1FE88D6F" w14:textId="77777777" w:rsidR="00810B1F" w:rsidRDefault="00810B1F" w:rsidP="00547F7B">
            <w:pPr>
              <w:jc w:val="center"/>
            </w:pPr>
          </w:p>
          <w:p w14:paraId="37869073" w14:textId="77777777" w:rsidR="00810B1F" w:rsidRDefault="00810B1F" w:rsidP="00547F7B">
            <w:pPr>
              <w:jc w:val="center"/>
            </w:pPr>
          </w:p>
          <w:p w14:paraId="40605D4D" w14:textId="77777777" w:rsidR="00810B1F" w:rsidRDefault="00810B1F" w:rsidP="00547F7B">
            <w:pPr>
              <w:jc w:val="center"/>
            </w:pPr>
            <w:r w:rsidRPr="00725CEA">
              <w:t>LY2886721</w:t>
            </w:r>
          </w:p>
        </w:tc>
        <w:tc>
          <w:tcPr>
            <w:tcW w:w="4020" w:type="dxa"/>
          </w:tcPr>
          <w:p w14:paraId="4BE81E6D" w14:textId="77777777" w:rsidR="00810B1F" w:rsidRDefault="00810B1F" w:rsidP="00547F7B">
            <w:pPr>
              <w:jc w:val="center"/>
            </w:pPr>
            <w:r>
              <w:rPr>
                <w:noProof/>
              </w:rPr>
              <w:drawing>
                <wp:inline distT="0" distB="0" distL="0" distR="0" wp14:anchorId="1E1FACBC" wp14:editId="403273AD">
                  <wp:extent cx="1241750" cy="1289714"/>
                  <wp:effectExtent l="0" t="0" r="0" b="5715"/>
                  <wp:docPr id="5" name="Picture 4">
                    <a:extLst xmlns:a="http://schemas.openxmlformats.org/drawingml/2006/main">
                      <a:ext uri="{FF2B5EF4-FFF2-40B4-BE49-F238E27FC236}">
                        <a16:creationId xmlns:a16="http://schemas.microsoft.com/office/drawing/2014/main" id="{15385435-948E-4F69-A9CD-B06480320B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5385435-948E-4F69-A9CD-B06480320BD4}"/>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53577" cy="1301998"/>
                          </a:xfrm>
                          <a:prstGeom prst="rect">
                            <a:avLst/>
                          </a:prstGeom>
                        </pic:spPr>
                      </pic:pic>
                    </a:graphicData>
                  </a:graphic>
                </wp:inline>
              </w:drawing>
            </w:r>
          </w:p>
        </w:tc>
        <w:tc>
          <w:tcPr>
            <w:tcW w:w="4139" w:type="dxa"/>
          </w:tcPr>
          <w:p w14:paraId="22E41211" w14:textId="52E2E3BF" w:rsidR="00F93B3E" w:rsidRPr="00F41E45" w:rsidRDefault="000D1D22" w:rsidP="00734851">
            <w:pPr>
              <w:pStyle w:val="ListParagraph"/>
              <w:numPr>
                <w:ilvl w:val="0"/>
                <w:numId w:val="10"/>
              </w:numPr>
              <w:jc w:val="both"/>
              <w:rPr>
                <w:sz w:val="18"/>
                <w:szCs w:val="18"/>
              </w:rPr>
            </w:pPr>
            <w:r w:rsidRPr="00F41E45">
              <w:rPr>
                <w:sz w:val="18"/>
                <w:szCs w:val="18"/>
              </w:rPr>
              <w:t>F</w:t>
            </w:r>
            <w:r w:rsidR="00810B1F" w:rsidRPr="00F41E45">
              <w:rPr>
                <w:sz w:val="18"/>
                <w:szCs w:val="18"/>
              </w:rPr>
              <w:t>az</w:t>
            </w:r>
            <w:r w:rsidRPr="00F41E45">
              <w:rPr>
                <w:sz w:val="18"/>
                <w:szCs w:val="18"/>
              </w:rPr>
              <w:t>a</w:t>
            </w:r>
            <w:r w:rsidR="00810B1F" w:rsidRPr="00F41E45">
              <w:rPr>
                <w:sz w:val="18"/>
                <w:szCs w:val="18"/>
              </w:rPr>
              <w:t xml:space="preserve"> I </w:t>
            </w:r>
            <w:r w:rsidRPr="00F41E45">
              <w:rPr>
                <w:sz w:val="18"/>
                <w:szCs w:val="18"/>
              </w:rPr>
              <w:t>-</w:t>
            </w:r>
            <w:r w:rsidR="00810B1F" w:rsidRPr="00F41E45">
              <w:rPr>
                <w:sz w:val="18"/>
                <w:szCs w:val="18"/>
              </w:rPr>
              <w:t xml:space="preserve"> lijek je primjenjivan oralno</w:t>
            </w:r>
            <w:r w:rsidR="00F93B3E" w:rsidRPr="00F41E45">
              <w:rPr>
                <w:sz w:val="18"/>
                <w:szCs w:val="18"/>
              </w:rPr>
              <w:t xml:space="preserve"> </w:t>
            </w:r>
            <w:r w:rsidR="00810B1F" w:rsidRPr="00F41E45">
              <w:rPr>
                <w:sz w:val="18"/>
                <w:szCs w:val="18"/>
              </w:rPr>
              <w:t>14 dana</w:t>
            </w:r>
            <w:r w:rsidR="00602B2D" w:rsidRPr="00602B2D">
              <w:rPr>
                <w:sz w:val="18"/>
                <w:szCs w:val="18"/>
                <w:vertAlign w:val="superscript"/>
              </w:rPr>
              <w:t>35</w:t>
            </w:r>
          </w:p>
          <w:p w14:paraId="2295E12E" w14:textId="74B57D9C" w:rsidR="00F93B3E" w:rsidRPr="00F41E45" w:rsidRDefault="00810B1F" w:rsidP="00734851">
            <w:pPr>
              <w:pStyle w:val="ListParagraph"/>
              <w:numPr>
                <w:ilvl w:val="0"/>
                <w:numId w:val="10"/>
              </w:numPr>
              <w:jc w:val="both"/>
              <w:rPr>
                <w:sz w:val="18"/>
                <w:szCs w:val="18"/>
              </w:rPr>
            </w:pPr>
            <w:r w:rsidRPr="00F41E45">
              <w:rPr>
                <w:sz w:val="18"/>
                <w:szCs w:val="18"/>
              </w:rPr>
              <w:t xml:space="preserve">Vrijeme poluživota inhibitora u krvnoj plazmi 12 sati </w:t>
            </w:r>
            <w:r w:rsidR="00F93B3E" w:rsidRPr="00F41E45">
              <w:rPr>
                <w:sz w:val="18"/>
                <w:szCs w:val="18"/>
              </w:rPr>
              <w:t>-</w:t>
            </w:r>
            <w:r w:rsidRPr="00F41E45">
              <w:rPr>
                <w:sz w:val="18"/>
                <w:szCs w:val="18"/>
              </w:rPr>
              <w:t xml:space="preserve"> pogodan za primjenu jednom dnevno</w:t>
            </w:r>
            <w:r w:rsidR="00602B2D">
              <w:rPr>
                <w:sz w:val="18"/>
                <w:szCs w:val="18"/>
                <w:vertAlign w:val="superscript"/>
              </w:rPr>
              <w:t>35</w:t>
            </w:r>
          </w:p>
          <w:p w14:paraId="6AEC74BB" w14:textId="27487EA7" w:rsidR="00F93B3E" w:rsidRPr="00F41E45" w:rsidRDefault="00F93B3E" w:rsidP="00734851">
            <w:pPr>
              <w:pStyle w:val="ListParagraph"/>
              <w:numPr>
                <w:ilvl w:val="0"/>
                <w:numId w:val="10"/>
              </w:numPr>
              <w:jc w:val="both"/>
              <w:rPr>
                <w:sz w:val="18"/>
                <w:szCs w:val="18"/>
              </w:rPr>
            </w:pPr>
            <w:r w:rsidRPr="00F41E45">
              <w:rPr>
                <w:sz w:val="18"/>
                <w:szCs w:val="18"/>
              </w:rPr>
              <w:t>U pretkliničkim animalnim studijama nije pokazao retinalnu i moždanu toksičnost</w:t>
            </w:r>
            <w:r w:rsidR="00602B2D">
              <w:rPr>
                <w:sz w:val="18"/>
                <w:szCs w:val="18"/>
                <w:vertAlign w:val="superscript"/>
              </w:rPr>
              <w:t>35</w:t>
            </w:r>
          </w:p>
          <w:p w14:paraId="0C470DAB" w14:textId="2CA02A93" w:rsidR="00810B1F" w:rsidRPr="00F41E45" w:rsidRDefault="00810B1F" w:rsidP="00734851">
            <w:pPr>
              <w:pStyle w:val="ListParagraph"/>
              <w:numPr>
                <w:ilvl w:val="0"/>
                <w:numId w:val="10"/>
              </w:numPr>
              <w:jc w:val="both"/>
              <w:rPr>
                <w:sz w:val="18"/>
                <w:szCs w:val="18"/>
              </w:rPr>
            </w:pPr>
            <w:r w:rsidRPr="00F41E45">
              <w:rPr>
                <w:sz w:val="18"/>
                <w:szCs w:val="18"/>
              </w:rPr>
              <w:t>Faza II kliničkih ispitivanja na pacijentima s blagim oblikom Alzheimerove</w:t>
            </w:r>
            <w:r w:rsidR="00F93B3E" w:rsidRPr="00F41E45">
              <w:rPr>
                <w:sz w:val="18"/>
                <w:szCs w:val="18"/>
              </w:rPr>
              <w:t xml:space="preserve"> </w:t>
            </w:r>
            <w:r w:rsidRPr="00F41E45">
              <w:rPr>
                <w:sz w:val="18"/>
                <w:szCs w:val="18"/>
              </w:rPr>
              <w:t>bolesti obustavljena</w:t>
            </w:r>
            <w:r w:rsidR="00F93B3E" w:rsidRPr="00F41E45">
              <w:rPr>
                <w:sz w:val="18"/>
                <w:szCs w:val="18"/>
              </w:rPr>
              <w:t xml:space="preserve"> </w:t>
            </w:r>
            <w:r w:rsidRPr="00F41E45">
              <w:rPr>
                <w:sz w:val="18"/>
                <w:szCs w:val="18"/>
              </w:rPr>
              <w:t>zbog poremećaja u biokemijskim testovima jetre</w:t>
            </w:r>
            <w:r w:rsidR="00602B2D">
              <w:rPr>
                <w:sz w:val="18"/>
                <w:szCs w:val="18"/>
                <w:vertAlign w:val="superscript"/>
              </w:rPr>
              <w:t>35</w:t>
            </w:r>
          </w:p>
        </w:tc>
      </w:tr>
      <w:tr w:rsidR="00810B1F" w14:paraId="4929138E" w14:textId="77777777" w:rsidTr="00F41E45">
        <w:trPr>
          <w:trHeight w:val="1330"/>
          <w:jc w:val="center"/>
        </w:trPr>
        <w:tc>
          <w:tcPr>
            <w:tcW w:w="3212" w:type="dxa"/>
          </w:tcPr>
          <w:p w14:paraId="726B2AC5" w14:textId="77777777" w:rsidR="00810B1F" w:rsidRDefault="00810B1F" w:rsidP="00547F7B">
            <w:pPr>
              <w:jc w:val="center"/>
            </w:pPr>
          </w:p>
          <w:p w14:paraId="1454C320" w14:textId="77777777" w:rsidR="00810B1F" w:rsidRDefault="00810B1F" w:rsidP="00547F7B">
            <w:pPr>
              <w:jc w:val="center"/>
            </w:pPr>
          </w:p>
          <w:p w14:paraId="12CE6A56" w14:textId="77777777" w:rsidR="00810B1F" w:rsidRDefault="00810B1F" w:rsidP="00547F7B">
            <w:pPr>
              <w:jc w:val="center"/>
            </w:pPr>
            <w:r w:rsidRPr="00725CEA">
              <w:t>MK-8931 (verubecestat)</w:t>
            </w:r>
          </w:p>
        </w:tc>
        <w:tc>
          <w:tcPr>
            <w:tcW w:w="4020" w:type="dxa"/>
          </w:tcPr>
          <w:p w14:paraId="13D21234" w14:textId="77777777" w:rsidR="00810B1F" w:rsidRDefault="00810B1F" w:rsidP="00547F7B">
            <w:pPr>
              <w:jc w:val="center"/>
            </w:pPr>
            <w:r>
              <w:rPr>
                <w:noProof/>
              </w:rPr>
              <w:drawing>
                <wp:inline distT="0" distB="0" distL="0" distR="0" wp14:anchorId="6A8C8358" wp14:editId="2B97BC75">
                  <wp:extent cx="1115426" cy="1569493"/>
                  <wp:effectExtent l="0" t="0" r="8890" b="0"/>
                  <wp:docPr id="7" name="Picture 6">
                    <a:extLst xmlns:a="http://schemas.openxmlformats.org/drawingml/2006/main">
                      <a:ext uri="{FF2B5EF4-FFF2-40B4-BE49-F238E27FC236}">
                        <a16:creationId xmlns:a16="http://schemas.microsoft.com/office/drawing/2014/main" id="{B87A55B2-7AAE-488C-B53E-79BC8A3829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87A55B2-7AAE-488C-B53E-79BC8A38290F}"/>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39351" cy="1603157"/>
                          </a:xfrm>
                          <a:prstGeom prst="rect">
                            <a:avLst/>
                          </a:prstGeom>
                        </pic:spPr>
                      </pic:pic>
                    </a:graphicData>
                  </a:graphic>
                </wp:inline>
              </w:drawing>
            </w:r>
          </w:p>
        </w:tc>
        <w:tc>
          <w:tcPr>
            <w:tcW w:w="4139" w:type="dxa"/>
          </w:tcPr>
          <w:p w14:paraId="7D1107C3" w14:textId="5568937E" w:rsidR="000D1D22" w:rsidRPr="00F41E45" w:rsidRDefault="00810B1F" w:rsidP="00734851">
            <w:pPr>
              <w:pStyle w:val="ListParagraph"/>
              <w:numPr>
                <w:ilvl w:val="0"/>
                <w:numId w:val="7"/>
              </w:numPr>
              <w:jc w:val="both"/>
              <w:rPr>
                <w:sz w:val="18"/>
                <w:szCs w:val="18"/>
                <w:vertAlign w:val="superscript"/>
              </w:rPr>
            </w:pPr>
            <w:r w:rsidRPr="00F41E45">
              <w:rPr>
                <w:sz w:val="18"/>
                <w:szCs w:val="18"/>
              </w:rPr>
              <w:t xml:space="preserve"> </w:t>
            </w:r>
            <w:r w:rsidR="000D1D22" w:rsidRPr="00F41E45">
              <w:rPr>
                <w:sz w:val="18"/>
                <w:szCs w:val="18"/>
              </w:rPr>
              <w:t>F</w:t>
            </w:r>
            <w:r w:rsidRPr="00F41E45">
              <w:rPr>
                <w:sz w:val="18"/>
                <w:szCs w:val="18"/>
              </w:rPr>
              <w:t>az</w:t>
            </w:r>
            <w:r w:rsidR="000D1D22" w:rsidRPr="00F41E45">
              <w:rPr>
                <w:sz w:val="18"/>
                <w:szCs w:val="18"/>
              </w:rPr>
              <w:t>a</w:t>
            </w:r>
            <w:r w:rsidRPr="00F41E45">
              <w:rPr>
                <w:sz w:val="18"/>
                <w:szCs w:val="18"/>
              </w:rPr>
              <w:t xml:space="preserve"> I/II kliničkih ispitivanja kod osoba oboljelih od Alzheimerove bolesti </w:t>
            </w:r>
            <w:r w:rsidR="000D1D22" w:rsidRPr="00F41E45">
              <w:rPr>
                <w:sz w:val="18"/>
                <w:szCs w:val="18"/>
              </w:rPr>
              <w:t xml:space="preserve">- </w:t>
            </w:r>
            <w:r w:rsidRPr="00F41E45">
              <w:rPr>
                <w:sz w:val="18"/>
                <w:szCs w:val="18"/>
              </w:rPr>
              <w:t>smanjena koncetracija Aβ u cerebrospinalnoj tekućini do 90%</w:t>
            </w:r>
            <w:r w:rsidR="00602B2D">
              <w:rPr>
                <w:sz w:val="18"/>
                <w:szCs w:val="18"/>
                <w:vertAlign w:val="superscript"/>
              </w:rPr>
              <w:t>35</w:t>
            </w:r>
          </w:p>
          <w:p w14:paraId="1163D0DC" w14:textId="2B276EC9" w:rsidR="00F93B3E" w:rsidRPr="00F41E45" w:rsidRDefault="000D1D22" w:rsidP="00734851">
            <w:pPr>
              <w:pStyle w:val="ListParagraph"/>
              <w:numPr>
                <w:ilvl w:val="0"/>
                <w:numId w:val="7"/>
              </w:numPr>
              <w:jc w:val="both"/>
              <w:rPr>
                <w:sz w:val="18"/>
                <w:szCs w:val="18"/>
              </w:rPr>
            </w:pPr>
            <w:r w:rsidRPr="00F41E45">
              <w:rPr>
                <w:sz w:val="18"/>
                <w:szCs w:val="18"/>
              </w:rPr>
              <w:t>I</w:t>
            </w:r>
            <w:r w:rsidR="00810B1F" w:rsidRPr="00F41E45">
              <w:rPr>
                <w:sz w:val="18"/>
                <w:szCs w:val="18"/>
              </w:rPr>
              <w:t>straživanje obustavljeno jer tretman nije pokazao poboljšanje kognitivnih sposobnosti ni svakodnevnih aktivnosti pacijenata</w:t>
            </w:r>
            <w:r w:rsidR="00602B2D">
              <w:rPr>
                <w:sz w:val="18"/>
                <w:szCs w:val="18"/>
                <w:vertAlign w:val="superscript"/>
              </w:rPr>
              <w:t>35</w:t>
            </w:r>
          </w:p>
          <w:p w14:paraId="3D5035B4" w14:textId="18E260C2" w:rsidR="00810B1F" w:rsidRPr="00F41E45" w:rsidRDefault="00810B1F" w:rsidP="00734851">
            <w:pPr>
              <w:pStyle w:val="ListParagraph"/>
              <w:numPr>
                <w:ilvl w:val="0"/>
                <w:numId w:val="7"/>
              </w:numPr>
              <w:jc w:val="both"/>
              <w:rPr>
                <w:sz w:val="18"/>
                <w:szCs w:val="18"/>
              </w:rPr>
            </w:pPr>
            <w:r w:rsidRPr="00F41E45">
              <w:rPr>
                <w:sz w:val="18"/>
                <w:szCs w:val="18"/>
              </w:rPr>
              <w:t>Pacijenti koji su primali verubecestat žalili su se na aksioznost, depresiju i poremećaje spavanja</w:t>
            </w:r>
            <w:r w:rsidR="00F41E45" w:rsidRPr="00F41E45">
              <w:rPr>
                <w:sz w:val="18"/>
                <w:szCs w:val="18"/>
              </w:rPr>
              <w:t>; ubrzano uznapredovanje bolesti od ranih simptoma do demencije u odnosu na placebo</w:t>
            </w:r>
            <w:r w:rsidR="00602B2D">
              <w:rPr>
                <w:sz w:val="18"/>
                <w:szCs w:val="18"/>
                <w:vertAlign w:val="superscript"/>
              </w:rPr>
              <w:t>39</w:t>
            </w:r>
          </w:p>
        </w:tc>
      </w:tr>
      <w:tr w:rsidR="00810B1F" w14:paraId="72D4E896" w14:textId="77777777" w:rsidTr="00F41E45">
        <w:trPr>
          <w:trHeight w:val="1282"/>
          <w:jc w:val="center"/>
        </w:trPr>
        <w:tc>
          <w:tcPr>
            <w:tcW w:w="3212" w:type="dxa"/>
          </w:tcPr>
          <w:p w14:paraId="47E00E45" w14:textId="77777777" w:rsidR="00810B1F" w:rsidRDefault="00810B1F" w:rsidP="00547F7B">
            <w:pPr>
              <w:jc w:val="center"/>
            </w:pPr>
          </w:p>
          <w:p w14:paraId="7990452E" w14:textId="77777777" w:rsidR="00810B1F" w:rsidRDefault="00810B1F" w:rsidP="00547F7B">
            <w:pPr>
              <w:tabs>
                <w:tab w:val="left" w:pos="1171"/>
              </w:tabs>
              <w:jc w:val="center"/>
            </w:pPr>
          </w:p>
          <w:p w14:paraId="2EBAE6EE" w14:textId="77777777" w:rsidR="00810B1F" w:rsidRPr="00725CEA" w:rsidRDefault="00810B1F" w:rsidP="00547F7B">
            <w:pPr>
              <w:tabs>
                <w:tab w:val="left" w:pos="1171"/>
              </w:tabs>
              <w:jc w:val="center"/>
            </w:pPr>
            <w:r w:rsidRPr="00725CEA">
              <w:t>JNJ-54861911 (atabecestat)</w:t>
            </w:r>
          </w:p>
        </w:tc>
        <w:tc>
          <w:tcPr>
            <w:tcW w:w="4020" w:type="dxa"/>
          </w:tcPr>
          <w:p w14:paraId="5339FD9E" w14:textId="77777777" w:rsidR="00810B1F" w:rsidRDefault="00810B1F" w:rsidP="00547F7B">
            <w:pPr>
              <w:jc w:val="center"/>
            </w:pPr>
            <w:r>
              <w:rPr>
                <w:noProof/>
              </w:rPr>
              <w:drawing>
                <wp:inline distT="0" distB="0" distL="0" distR="0" wp14:anchorId="7725A726" wp14:editId="7A8A440D">
                  <wp:extent cx="1030406" cy="1561413"/>
                  <wp:effectExtent l="0" t="0" r="0" b="1270"/>
                  <wp:docPr id="22" name="Picture 8">
                    <a:extLst xmlns:a="http://schemas.openxmlformats.org/drawingml/2006/main">
                      <a:ext uri="{FF2B5EF4-FFF2-40B4-BE49-F238E27FC236}">
                        <a16:creationId xmlns:a16="http://schemas.microsoft.com/office/drawing/2014/main" id="{ACBB3269-EEF8-4411-9929-9659C63F25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CBB3269-EEF8-4411-9929-9659C63F2516}"/>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48762" cy="1589228"/>
                          </a:xfrm>
                          <a:prstGeom prst="rect">
                            <a:avLst/>
                          </a:prstGeom>
                        </pic:spPr>
                      </pic:pic>
                    </a:graphicData>
                  </a:graphic>
                </wp:inline>
              </w:drawing>
            </w:r>
          </w:p>
        </w:tc>
        <w:tc>
          <w:tcPr>
            <w:tcW w:w="4139" w:type="dxa"/>
          </w:tcPr>
          <w:p w14:paraId="72C38956" w14:textId="6EC78A31" w:rsidR="000D1D22" w:rsidRPr="00F41E45" w:rsidRDefault="00810B1F" w:rsidP="00734851">
            <w:pPr>
              <w:pStyle w:val="ListParagraph"/>
              <w:numPr>
                <w:ilvl w:val="0"/>
                <w:numId w:val="8"/>
              </w:numPr>
              <w:jc w:val="both"/>
              <w:rPr>
                <w:sz w:val="18"/>
                <w:szCs w:val="18"/>
                <w:vertAlign w:val="superscript"/>
              </w:rPr>
            </w:pPr>
            <w:r w:rsidRPr="00F41E45">
              <w:rPr>
                <w:sz w:val="18"/>
                <w:szCs w:val="18"/>
              </w:rPr>
              <w:t>Djelovanje ispitivano na osobama kod kojih je ustanovljen rizik za razvoj Alzheimerove bolesti (Aβ-pozitivni pacijenti)</w:t>
            </w:r>
            <w:r w:rsidR="000D1D22" w:rsidRPr="00F41E45">
              <w:rPr>
                <w:sz w:val="18"/>
                <w:szCs w:val="18"/>
              </w:rPr>
              <w:t>; grupe su primale dnevnu dozu od 5 mg ili 25 mg lijeka, a jedna grupa primala placebo</w:t>
            </w:r>
            <w:r w:rsidR="000D1D22" w:rsidRPr="00F41E45">
              <w:rPr>
                <w:sz w:val="18"/>
                <w:szCs w:val="18"/>
                <w:vertAlign w:val="superscript"/>
              </w:rPr>
              <w:t xml:space="preserve"> </w:t>
            </w:r>
            <w:r w:rsidR="00602B2D">
              <w:rPr>
                <w:sz w:val="18"/>
                <w:szCs w:val="18"/>
                <w:vertAlign w:val="superscript"/>
              </w:rPr>
              <w:t>39</w:t>
            </w:r>
          </w:p>
          <w:p w14:paraId="52789A82" w14:textId="77777777" w:rsidR="000D1D22" w:rsidRPr="00F41E45" w:rsidRDefault="000D1D22" w:rsidP="000D1D22">
            <w:pPr>
              <w:pStyle w:val="ListParagraph"/>
              <w:jc w:val="both"/>
              <w:rPr>
                <w:sz w:val="18"/>
                <w:szCs w:val="18"/>
                <w:vertAlign w:val="superscript"/>
              </w:rPr>
            </w:pPr>
          </w:p>
          <w:p w14:paraId="77CC4736" w14:textId="37C94D37" w:rsidR="00810B1F" w:rsidRPr="00F41E45" w:rsidRDefault="00810B1F" w:rsidP="00734851">
            <w:pPr>
              <w:pStyle w:val="ListParagraph"/>
              <w:numPr>
                <w:ilvl w:val="0"/>
                <w:numId w:val="8"/>
              </w:numPr>
              <w:jc w:val="both"/>
              <w:rPr>
                <w:sz w:val="18"/>
                <w:szCs w:val="18"/>
              </w:rPr>
            </w:pPr>
            <w:r w:rsidRPr="00F41E45">
              <w:rPr>
                <w:sz w:val="18"/>
                <w:szCs w:val="18"/>
              </w:rPr>
              <w:t>Kod grupe koja je primala višu dozu lijeka uočen je statistički značajan pad kognitivnih funkcija u usporedbi s grupom koja je primala placebo</w:t>
            </w:r>
            <w:r w:rsidR="000D1D22" w:rsidRPr="00F41E45">
              <w:rPr>
                <w:sz w:val="18"/>
                <w:szCs w:val="18"/>
              </w:rPr>
              <w:t>;</w:t>
            </w:r>
            <w:r w:rsidRPr="00F41E45">
              <w:rPr>
                <w:sz w:val="18"/>
                <w:szCs w:val="18"/>
              </w:rPr>
              <w:t xml:space="preserve"> osobe koje su primile lijek su se češće žalile na depresiju i poremećaje spavanja.</w:t>
            </w:r>
            <w:r w:rsidRPr="00F41E45">
              <w:rPr>
                <w:sz w:val="18"/>
                <w:szCs w:val="18"/>
                <w:vertAlign w:val="superscript"/>
              </w:rPr>
              <w:t>3</w:t>
            </w:r>
            <w:r w:rsidR="00602B2D">
              <w:rPr>
                <w:sz w:val="18"/>
                <w:szCs w:val="18"/>
                <w:vertAlign w:val="superscript"/>
              </w:rPr>
              <w:t>9</w:t>
            </w:r>
          </w:p>
        </w:tc>
      </w:tr>
      <w:tr w:rsidR="00810B1F" w14:paraId="01D0012B" w14:textId="77777777" w:rsidTr="00F41E45">
        <w:trPr>
          <w:trHeight w:val="1330"/>
          <w:jc w:val="center"/>
        </w:trPr>
        <w:tc>
          <w:tcPr>
            <w:tcW w:w="3212" w:type="dxa"/>
          </w:tcPr>
          <w:p w14:paraId="6CEBBA00" w14:textId="77777777" w:rsidR="00810B1F" w:rsidRDefault="00810B1F" w:rsidP="00547F7B">
            <w:pPr>
              <w:jc w:val="center"/>
            </w:pPr>
          </w:p>
          <w:p w14:paraId="2A4B876A" w14:textId="77777777" w:rsidR="00810B1F" w:rsidRDefault="00810B1F" w:rsidP="00547F7B">
            <w:pPr>
              <w:jc w:val="center"/>
            </w:pPr>
          </w:p>
          <w:p w14:paraId="2E96B943" w14:textId="77777777" w:rsidR="00810B1F" w:rsidRDefault="00810B1F" w:rsidP="00547F7B">
            <w:pPr>
              <w:jc w:val="center"/>
            </w:pPr>
            <w:r w:rsidRPr="00725CEA">
              <w:t>E2609</w:t>
            </w:r>
          </w:p>
          <w:p w14:paraId="674E0B51" w14:textId="77777777" w:rsidR="00810B1F" w:rsidRDefault="00810B1F" w:rsidP="00547F7B">
            <w:pPr>
              <w:jc w:val="center"/>
            </w:pPr>
            <w:r w:rsidRPr="00725CEA">
              <w:t>(elenbecestat)</w:t>
            </w:r>
          </w:p>
        </w:tc>
        <w:tc>
          <w:tcPr>
            <w:tcW w:w="4020" w:type="dxa"/>
          </w:tcPr>
          <w:p w14:paraId="3815034F" w14:textId="77777777" w:rsidR="00810B1F" w:rsidRDefault="00810B1F" w:rsidP="00547F7B">
            <w:pPr>
              <w:jc w:val="center"/>
            </w:pPr>
            <w:r>
              <w:rPr>
                <w:noProof/>
              </w:rPr>
              <w:drawing>
                <wp:inline distT="0" distB="0" distL="0" distR="0" wp14:anchorId="2561B29E" wp14:editId="300E0FAC">
                  <wp:extent cx="1603612" cy="1259110"/>
                  <wp:effectExtent l="0" t="0" r="0" b="0"/>
                  <wp:docPr id="27" name="Picture 10">
                    <a:extLst xmlns:a="http://schemas.openxmlformats.org/drawingml/2006/main">
                      <a:ext uri="{FF2B5EF4-FFF2-40B4-BE49-F238E27FC236}">
                        <a16:creationId xmlns:a16="http://schemas.microsoft.com/office/drawing/2014/main" id="{3AB3AC4D-D370-4565-9AB7-8C322F0349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AB3AC4D-D370-4565-9AB7-8C322F034940}"/>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45975" cy="1292372"/>
                          </a:xfrm>
                          <a:prstGeom prst="rect">
                            <a:avLst/>
                          </a:prstGeom>
                        </pic:spPr>
                      </pic:pic>
                    </a:graphicData>
                  </a:graphic>
                </wp:inline>
              </w:drawing>
            </w:r>
          </w:p>
        </w:tc>
        <w:tc>
          <w:tcPr>
            <w:tcW w:w="4139" w:type="dxa"/>
          </w:tcPr>
          <w:p w14:paraId="192CC239" w14:textId="6FB62A83" w:rsidR="000D1D22" w:rsidRPr="00F41E45" w:rsidRDefault="00810B1F" w:rsidP="00734851">
            <w:pPr>
              <w:pStyle w:val="ListParagraph"/>
              <w:numPr>
                <w:ilvl w:val="0"/>
                <w:numId w:val="9"/>
              </w:numPr>
              <w:jc w:val="both"/>
              <w:rPr>
                <w:sz w:val="18"/>
                <w:szCs w:val="18"/>
              </w:rPr>
            </w:pPr>
            <w:r w:rsidRPr="00F41E45">
              <w:rPr>
                <w:sz w:val="18"/>
                <w:szCs w:val="18"/>
              </w:rPr>
              <w:t xml:space="preserve">Ustanovljeno da smanjuje razinu Aβ u cerebrospinalnoj tekućini osoba ovisno o koncentraciji </w:t>
            </w:r>
            <w:r w:rsidR="000D1D22" w:rsidRPr="00F41E45">
              <w:rPr>
                <w:sz w:val="18"/>
                <w:szCs w:val="18"/>
                <w:vertAlign w:val="superscript"/>
              </w:rPr>
              <w:t>3</w:t>
            </w:r>
            <w:r w:rsidR="00602B2D">
              <w:rPr>
                <w:sz w:val="18"/>
                <w:szCs w:val="18"/>
                <w:vertAlign w:val="superscript"/>
              </w:rPr>
              <w:t>9</w:t>
            </w:r>
          </w:p>
          <w:p w14:paraId="6523B3FC" w14:textId="557385D2" w:rsidR="000D1D22" w:rsidRPr="00F41E45" w:rsidRDefault="00810B1F" w:rsidP="00734851">
            <w:pPr>
              <w:pStyle w:val="ListParagraph"/>
              <w:numPr>
                <w:ilvl w:val="0"/>
                <w:numId w:val="9"/>
              </w:numPr>
              <w:jc w:val="both"/>
              <w:rPr>
                <w:sz w:val="18"/>
                <w:szCs w:val="18"/>
              </w:rPr>
            </w:pPr>
            <w:r w:rsidRPr="00F41E45">
              <w:rPr>
                <w:sz w:val="18"/>
                <w:szCs w:val="18"/>
              </w:rPr>
              <w:t>Pacijenti s umjerenim stadijem Alzheimerove bolesti primali su 5, 15 odnosno 50 mg elenbecestata dnevno, a jedna grupa primala je placebo</w:t>
            </w:r>
            <w:r w:rsidR="000D1D22" w:rsidRPr="00F41E45">
              <w:rPr>
                <w:sz w:val="18"/>
                <w:szCs w:val="18"/>
                <w:vertAlign w:val="superscript"/>
              </w:rPr>
              <w:t>3</w:t>
            </w:r>
            <w:r w:rsidR="00602B2D">
              <w:rPr>
                <w:sz w:val="18"/>
                <w:szCs w:val="18"/>
                <w:vertAlign w:val="superscript"/>
              </w:rPr>
              <w:t>9</w:t>
            </w:r>
          </w:p>
          <w:p w14:paraId="25BCBBFE" w14:textId="2D7AB549" w:rsidR="000D1D22" w:rsidRPr="00F41E45" w:rsidRDefault="00810B1F" w:rsidP="00734851">
            <w:pPr>
              <w:pStyle w:val="ListParagraph"/>
              <w:numPr>
                <w:ilvl w:val="0"/>
                <w:numId w:val="9"/>
              </w:numPr>
              <w:jc w:val="both"/>
              <w:rPr>
                <w:sz w:val="18"/>
                <w:szCs w:val="18"/>
              </w:rPr>
            </w:pPr>
            <w:r w:rsidRPr="00F41E45">
              <w:rPr>
                <w:sz w:val="18"/>
                <w:szCs w:val="18"/>
              </w:rPr>
              <w:t>Značajno smanjenje razine Aβ u mozgu kod grupe koja je primala najveću dozu inhibitora.</w:t>
            </w:r>
            <w:r w:rsidR="000D1D22" w:rsidRPr="00F41E45">
              <w:rPr>
                <w:sz w:val="18"/>
                <w:szCs w:val="18"/>
                <w:vertAlign w:val="superscript"/>
              </w:rPr>
              <w:t>3</w:t>
            </w:r>
            <w:r w:rsidR="00602B2D">
              <w:rPr>
                <w:sz w:val="18"/>
                <w:szCs w:val="18"/>
                <w:vertAlign w:val="superscript"/>
              </w:rPr>
              <w:t>9</w:t>
            </w:r>
          </w:p>
          <w:p w14:paraId="5484B2E6" w14:textId="5260BDD8" w:rsidR="00810B1F" w:rsidRPr="00F41E45" w:rsidRDefault="00810B1F" w:rsidP="00734851">
            <w:pPr>
              <w:pStyle w:val="ListParagraph"/>
              <w:numPr>
                <w:ilvl w:val="0"/>
                <w:numId w:val="9"/>
              </w:numPr>
              <w:jc w:val="both"/>
              <w:rPr>
                <w:sz w:val="18"/>
                <w:szCs w:val="18"/>
              </w:rPr>
            </w:pPr>
            <w:r w:rsidRPr="00F41E45">
              <w:rPr>
                <w:sz w:val="18"/>
                <w:szCs w:val="18"/>
              </w:rPr>
              <w:t xml:space="preserve"> Ispitivanja su prekinuta jer rezultati nisu pokazali značajnu prednost primjene elenbecestata naspram placeba što se tiče simptoma bolesti.</w:t>
            </w:r>
            <w:r w:rsidRPr="00F41E45">
              <w:rPr>
                <w:sz w:val="18"/>
                <w:szCs w:val="18"/>
                <w:vertAlign w:val="superscript"/>
              </w:rPr>
              <w:t>3</w:t>
            </w:r>
            <w:r w:rsidR="00602B2D">
              <w:rPr>
                <w:sz w:val="18"/>
                <w:szCs w:val="18"/>
                <w:vertAlign w:val="superscript"/>
              </w:rPr>
              <w:t>9</w:t>
            </w:r>
          </w:p>
        </w:tc>
      </w:tr>
    </w:tbl>
    <w:p w14:paraId="23C97968" w14:textId="77777777" w:rsidR="00810B1F" w:rsidRDefault="00810B1F" w:rsidP="00A10C14">
      <w:pPr>
        <w:spacing w:line="360" w:lineRule="auto"/>
        <w:jc w:val="both"/>
        <w:rPr>
          <w:vertAlign w:val="superscript"/>
          <w:lang w:val="hr-HR"/>
        </w:rPr>
      </w:pPr>
    </w:p>
    <w:p w14:paraId="034359C3" w14:textId="65B74E06" w:rsidR="0026019C" w:rsidRPr="00C61EC0" w:rsidRDefault="00A10C14" w:rsidP="00F93B3E">
      <w:pPr>
        <w:spacing w:line="360" w:lineRule="auto"/>
        <w:jc w:val="both"/>
        <w:rPr>
          <w:lang w:val="hr-HR"/>
        </w:rPr>
      </w:pPr>
      <w:r>
        <w:rPr>
          <w:lang w:val="hr-HR"/>
        </w:rPr>
        <w:lastRenderedPageBreak/>
        <w:t xml:space="preserve">Osim neželjenih negativnih efekata koji su uočeni nakon primjene prethodno opisanih inhibitora, klinička ispitivanja potencijalnih lijekova za Alzheimerovu bolest dodatno otežava duljina trajanja pojedinih faza te nedostatak odobrenih biomarkera za klinička ispitivanja ove bolesti te je bez njih jedini pozitivan </w:t>
      </w:r>
      <w:r w:rsidR="00EF0992">
        <w:rPr>
          <w:lang w:val="hr-HR"/>
        </w:rPr>
        <w:t>ishod</w:t>
      </w:r>
      <w:r>
        <w:rPr>
          <w:lang w:val="hr-HR"/>
        </w:rPr>
        <w:t xml:space="preserve"> kliničkih ispitivanja popravak poremećenih kognitivnih funkcija.</w:t>
      </w:r>
      <w:r w:rsidR="00A4207F">
        <w:rPr>
          <w:vertAlign w:val="superscript"/>
          <w:lang w:val="hr-HR"/>
        </w:rPr>
        <w:t>3</w:t>
      </w:r>
      <w:r w:rsidR="00602B2D">
        <w:rPr>
          <w:vertAlign w:val="superscript"/>
          <w:lang w:val="hr-HR"/>
        </w:rPr>
        <w:t>7</w:t>
      </w:r>
      <w:r w:rsidR="00A4207F">
        <w:rPr>
          <w:vertAlign w:val="superscript"/>
          <w:lang w:val="hr-HR"/>
        </w:rPr>
        <w:t>,</w:t>
      </w:r>
      <w:r w:rsidR="00602B2D">
        <w:rPr>
          <w:vertAlign w:val="superscript"/>
          <w:lang w:val="hr-HR"/>
        </w:rPr>
        <w:t>40</w:t>
      </w:r>
      <w:r>
        <w:rPr>
          <w:lang w:val="hr-HR"/>
        </w:rPr>
        <w:t xml:space="preserve"> Biomarkeri su karakteristike koje se mogu objektivno mjeriti i vrednovati kao indikatori normalnih bioloških ili patoloških procesa te odgovora organizma na tretman lijekovima. „ATN“ (amiloid/tau/neurodegeneracija) je predloženi okvir koji obuhvaća biomarkere za dijagnozu i karakterizaciju Alzheimerove bolesti, a obuhvaća skeniranje mozga metodom PET (pozitronska emisijska tomografija) kojom se ustanovljuje razina istaloženog amiloida i mjerenje razine topljivog amiloida β u CSF (A) te PET detekciju razina istaloženog fosforiliranog proteina tau i mjerenje razine topljivog fosforiliranog tau u CSF (T), dok se neurodegeneracija (N) ustanovljuje atrofijom koja je vidljiva iz MRI (</w:t>
      </w:r>
      <w:r w:rsidRPr="00DD2531">
        <w:rPr>
          <w:i/>
          <w:lang w:val="hr-HR"/>
        </w:rPr>
        <w:t>magnetic resonance imaging</w:t>
      </w:r>
      <w:r>
        <w:rPr>
          <w:lang w:val="hr-HR"/>
        </w:rPr>
        <w:t>) snimki mozga, koncentracijom ukupnog proteina tau u CSF te FDG (fluorodeoksiglukoza) PET skeniranjem mozga.</w:t>
      </w:r>
      <w:r w:rsidR="00602B2D">
        <w:rPr>
          <w:vertAlign w:val="superscript"/>
          <w:lang w:val="hr-HR"/>
        </w:rPr>
        <w:t>40</w:t>
      </w:r>
      <w:r>
        <w:rPr>
          <w:lang w:val="hr-HR"/>
        </w:rPr>
        <w:t xml:space="preserve"> Kliničko ispitivanje lijeka u ovom slučaju za cilj ima smanjenje parametra N (neurodegeneracije) kod tretiranih grupa u odnosu na grupe koje primaju placebo.</w:t>
      </w:r>
      <w:r w:rsidR="00602B2D">
        <w:rPr>
          <w:vertAlign w:val="superscript"/>
          <w:lang w:val="hr-HR"/>
        </w:rPr>
        <w:t>40</w:t>
      </w:r>
      <w:r w:rsidRPr="0089041D">
        <w:rPr>
          <w:lang w:val="hr-HR"/>
        </w:rPr>
        <w:t xml:space="preserve"> </w:t>
      </w:r>
      <w:r>
        <w:rPr>
          <w:lang w:val="hr-HR"/>
        </w:rPr>
        <w:t xml:space="preserve">Uporaba biomarkera smanjila bi trajanje kliničkih faza ispitivanja jer bi definirala jasnije ciljeve koje lijek treba ostvariti. Također, budući da se kod pacijenata s uznapredovalim stadijem Alzheimerove bolesti </w:t>
      </w:r>
      <w:r w:rsidR="0089041D">
        <w:rPr>
          <w:lang w:val="hr-HR"/>
        </w:rPr>
        <w:t xml:space="preserve">javljaju </w:t>
      </w:r>
      <w:r>
        <w:rPr>
          <w:lang w:val="hr-HR"/>
        </w:rPr>
        <w:t xml:space="preserve">dodatne patologije koje nisu nužno inducirane amiloidima Aβ </w:t>
      </w:r>
      <w:r w:rsidR="0089041D">
        <w:rPr>
          <w:lang w:val="hr-HR"/>
        </w:rPr>
        <w:t>(</w:t>
      </w:r>
      <w:r>
        <w:rPr>
          <w:lang w:val="hr-HR"/>
        </w:rPr>
        <w:t>poput upale mozga</w:t>
      </w:r>
      <w:r w:rsidR="0089041D">
        <w:rPr>
          <w:lang w:val="hr-HR"/>
        </w:rPr>
        <w:t>)</w:t>
      </w:r>
      <w:r>
        <w:rPr>
          <w:lang w:val="hr-HR"/>
        </w:rPr>
        <w:t xml:space="preserve"> koje mogu zamaskirati učinak redukcije količine amiloida Aβ uzrokovane primjenom inhibitora β-sekretaza, poželjno bi bilo da se učinak ovih inhibitora ispituje na pacijentima kod kojih je bolest još uvijek u ranoj fazi ili imaju genetske predispozicije za razvoj bolesti</w:t>
      </w:r>
      <w:r w:rsidR="0089041D">
        <w:rPr>
          <w:lang w:val="hr-HR"/>
        </w:rPr>
        <w:t>.</w:t>
      </w:r>
      <w:r w:rsidR="00A4207F">
        <w:rPr>
          <w:vertAlign w:val="superscript"/>
          <w:lang w:val="hr-HR"/>
        </w:rPr>
        <w:t>3</w:t>
      </w:r>
      <w:r w:rsidR="00602B2D">
        <w:rPr>
          <w:vertAlign w:val="superscript"/>
          <w:lang w:val="hr-HR"/>
        </w:rPr>
        <w:t>7</w:t>
      </w:r>
      <w:r w:rsidR="003D0D3B">
        <w:rPr>
          <w:vertAlign w:val="superscript"/>
          <w:lang w:val="hr-HR"/>
        </w:rPr>
        <w:t xml:space="preserve"> </w:t>
      </w:r>
    </w:p>
    <w:p w14:paraId="49D74330" w14:textId="77777777" w:rsidR="00C92CC4" w:rsidRDefault="00C92CC4" w:rsidP="0026019C">
      <w:pPr>
        <w:spacing w:line="360" w:lineRule="auto"/>
        <w:ind w:firstLine="360"/>
        <w:jc w:val="both"/>
        <w:rPr>
          <w:vertAlign w:val="superscript"/>
          <w:lang w:val="hr-HR"/>
        </w:rPr>
      </w:pPr>
    </w:p>
    <w:p w14:paraId="62396EDD" w14:textId="77777777" w:rsidR="00C92CC4" w:rsidRDefault="00C92CC4" w:rsidP="0026019C">
      <w:pPr>
        <w:spacing w:line="360" w:lineRule="auto"/>
        <w:ind w:firstLine="360"/>
        <w:jc w:val="both"/>
        <w:rPr>
          <w:vertAlign w:val="superscript"/>
          <w:lang w:val="hr-HR"/>
        </w:rPr>
      </w:pPr>
    </w:p>
    <w:p w14:paraId="505F10BE" w14:textId="77777777" w:rsidR="00C92CC4" w:rsidRDefault="00C92CC4" w:rsidP="0026019C">
      <w:pPr>
        <w:spacing w:line="360" w:lineRule="auto"/>
        <w:ind w:firstLine="360"/>
        <w:jc w:val="both"/>
        <w:rPr>
          <w:vertAlign w:val="superscript"/>
          <w:lang w:val="hr-HR"/>
        </w:rPr>
      </w:pPr>
    </w:p>
    <w:p w14:paraId="6A12178C" w14:textId="77777777" w:rsidR="00C92CC4" w:rsidRDefault="00C92CC4" w:rsidP="0026019C">
      <w:pPr>
        <w:spacing w:line="360" w:lineRule="auto"/>
        <w:ind w:firstLine="360"/>
        <w:jc w:val="both"/>
        <w:rPr>
          <w:vertAlign w:val="superscript"/>
          <w:lang w:val="hr-HR"/>
        </w:rPr>
      </w:pPr>
    </w:p>
    <w:p w14:paraId="531E3D7C" w14:textId="77777777" w:rsidR="00C92CC4" w:rsidRDefault="00C92CC4" w:rsidP="0026019C">
      <w:pPr>
        <w:spacing w:line="360" w:lineRule="auto"/>
        <w:ind w:firstLine="360"/>
        <w:jc w:val="both"/>
        <w:rPr>
          <w:vertAlign w:val="superscript"/>
          <w:lang w:val="hr-HR"/>
        </w:rPr>
      </w:pPr>
    </w:p>
    <w:p w14:paraId="4A299FE7" w14:textId="77777777" w:rsidR="00C92CC4" w:rsidRDefault="00C92CC4" w:rsidP="0026019C">
      <w:pPr>
        <w:spacing w:line="360" w:lineRule="auto"/>
        <w:ind w:firstLine="360"/>
        <w:jc w:val="both"/>
        <w:rPr>
          <w:vertAlign w:val="superscript"/>
          <w:lang w:val="hr-HR"/>
        </w:rPr>
      </w:pPr>
    </w:p>
    <w:p w14:paraId="39E8434D" w14:textId="77777777" w:rsidR="00C92CC4" w:rsidRDefault="00C92CC4" w:rsidP="0026019C">
      <w:pPr>
        <w:spacing w:line="360" w:lineRule="auto"/>
        <w:ind w:firstLine="360"/>
        <w:jc w:val="both"/>
        <w:rPr>
          <w:vertAlign w:val="superscript"/>
          <w:lang w:val="hr-HR"/>
        </w:rPr>
      </w:pPr>
    </w:p>
    <w:p w14:paraId="1E6AA768" w14:textId="77777777" w:rsidR="00C61EC0" w:rsidRDefault="00C61EC0" w:rsidP="0026019C">
      <w:pPr>
        <w:spacing w:line="360" w:lineRule="auto"/>
        <w:ind w:firstLine="360"/>
        <w:jc w:val="both"/>
        <w:rPr>
          <w:vertAlign w:val="superscript"/>
          <w:lang w:val="hr-HR"/>
        </w:rPr>
        <w:sectPr w:rsidR="00C61EC0" w:rsidSect="002975FB">
          <w:headerReference w:type="default" r:id="rId41"/>
          <w:pgSz w:w="11907" w:h="16840" w:code="9"/>
          <w:pgMar w:top="1701" w:right="1418" w:bottom="1701" w:left="1418" w:header="1134" w:footer="1134" w:gutter="0"/>
          <w:cols w:space="708"/>
          <w:docGrid w:linePitch="360"/>
        </w:sectPr>
      </w:pPr>
    </w:p>
    <w:p w14:paraId="7CA510BA" w14:textId="77777777" w:rsidR="007E0FE4" w:rsidRDefault="00A1621F" w:rsidP="007E0FE4">
      <w:pPr>
        <w:pStyle w:val="OCJENSKIRADOVI1Naslovpoglavlja"/>
        <w:spacing w:before="120" w:after="240"/>
      </w:pPr>
      <w:bookmarkStart w:id="37" w:name="_Toc101261724"/>
      <w:bookmarkStart w:id="38" w:name="_Toc101261725"/>
      <w:bookmarkStart w:id="39" w:name="_Toc101261726"/>
      <w:bookmarkStart w:id="40" w:name="_Toc101261727"/>
      <w:bookmarkStart w:id="41" w:name="_Toc101261728"/>
      <w:bookmarkStart w:id="42" w:name="_Toc101271730"/>
      <w:bookmarkStart w:id="43" w:name="_Toc355955763"/>
      <w:bookmarkEnd w:id="37"/>
      <w:bookmarkEnd w:id="38"/>
      <w:bookmarkEnd w:id="39"/>
      <w:bookmarkEnd w:id="40"/>
      <w:bookmarkEnd w:id="41"/>
      <w:r>
        <w:lastRenderedPageBreak/>
        <w:t>Z</w:t>
      </w:r>
      <w:r w:rsidR="007E0FE4">
        <w:t>aključak</w:t>
      </w:r>
      <w:bookmarkEnd w:id="42"/>
    </w:p>
    <w:p w14:paraId="637FA881" w14:textId="6C433092" w:rsidR="00B75049" w:rsidRDefault="003529B8" w:rsidP="00B75049">
      <w:pPr>
        <w:spacing w:line="360" w:lineRule="auto"/>
        <w:jc w:val="both"/>
      </w:pPr>
      <w:r>
        <w:t>β</w:t>
      </w:r>
      <w:r w:rsidR="004866D1">
        <w:t xml:space="preserve">-sekretaze važna su meta </w:t>
      </w:r>
      <w:r w:rsidR="00FF0827">
        <w:t>pri</w:t>
      </w:r>
      <w:r w:rsidR="004866D1">
        <w:t xml:space="preserve"> sintezi potencijalnih lijekova za tretman Alzheimerove bolesti. Činjenica da inhibicija </w:t>
      </w:r>
      <w:r w:rsidR="00FF0827">
        <w:t xml:space="preserve">β-sekretaza ne rezultira gubitkom funkcija važnih za život, kao što je to slučaj kod inhibicije γ-sekretaza, ohrabrujuća je te daje temelje za nastavak </w:t>
      </w:r>
      <w:r w:rsidR="007E628F">
        <w:t xml:space="preserve">potrage za mogućim inhibitorima. Mali nepeptidni inhibitori za sada su pokazali najveći potencijal, što je rezultiralo i ulaskom nekolicine takvih inhibitora u fazu II/III kliničkih ispitivanja. Nažalost, </w:t>
      </w:r>
      <w:r w:rsidR="0058662C">
        <w:t>neželjeni efekti kojima je rezultirala njihova dugoročna primjena, kao i nedostatak biomarkera koji bi jasno definirali uspješnost kliničkog ispitivanja lijeka protiv Alzheimerove bolesti kao posljedicu su imali obustavu njihovih daljnjih ispitivanja. Unatoč tome, inhibicija β-sekretaza i β-amiloidne agregacije i dalje ostaje jedan</w:t>
      </w:r>
      <w:r w:rsidR="0090458C">
        <w:t xml:space="preserve"> </w:t>
      </w:r>
      <w:r w:rsidR="0058662C">
        <w:t>od</w:t>
      </w:r>
      <w:r w:rsidR="0090458C">
        <w:t xml:space="preserve"> </w:t>
      </w:r>
      <w:r w:rsidR="0058662C">
        <w:t>primarnih ciljeva u potrazi za učinkovitim tre</w:t>
      </w:r>
      <w:r w:rsidR="0090458C">
        <w:t>t</w:t>
      </w:r>
      <w:r w:rsidR="0058662C">
        <w:t>manom Alzheimerove bolest</w:t>
      </w:r>
      <w:r w:rsidR="00F024DE">
        <w:t>.</w:t>
      </w:r>
    </w:p>
    <w:p w14:paraId="33703D4C" w14:textId="77777777" w:rsidR="00B75049" w:rsidRDefault="00B75049" w:rsidP="00B75049">
      <w:pPr>
        <w:spacing w:line="360" w:lineRule="auto"/>
        <w:jc w:val="both"/>
      </w:pPr>
    </w:p>
    <w:p w14:paraId="73EC5DAE" w14:textId="77777777" w:rsidR="00B75049" w:rsidRDefault="00B75049" w:rsidP="00B75049">
      <w:pPr>
        <w:spacing w:line="360" w:lineRule="auto"/>
        <w:jc w:val="both"/>
        <w:sectPr w:rsidR="00B75049" w:rsidSect="002975FB">
          <w:headerReference w:type="default" r:id="rId42"/>
          <w:pgSz w:w="11907" w:h="16840" w:code="9"/>
          <w:pgMar w:top="1701" w:right="1418" w:bottom="1701" w:left="1418" w:header="1134" w:footer="1134" w:gutter="0"/>
          <w:cols w:space="708"/>
          <w:docGrid w:linePitch="360"/>
        </w:sectPr>
      </w:pPr>
    </w:p>
    <w:p w14:paraId="4DD2CA94" w14:textId="77777777" w:rsidR="009164BA" w:rsidRPr="00A44071" w:rsidRDefault="00424536" w:rsidP="009164BA">
      <w:pPr>
        <w:pStyle w:val="OCJENSKIRADOVI1Naslovpoglavlja"/>
        <w:spacing w:before="120" w:after="240"/>
      </w:pPr>
      <w:bookmarkStart w:id="44" w:name="_Toc101271731"/>
      <w:r w:rsidRPr="00A44071">
        <w:lastRenderedPageBreak/>
        <w:t>LITERATURNI IZVORI</w:t>
      </w:r>
      <w:bookmarkEnd w:id="4"/>
      <w:bookmarkEnd w:id="43"/>
      <w:bookmarkEnd w:id="44"/>
    </w:p>
    <w:p w14:paraId="2AB27F09" w14:textId="77777777" w:rsidR="00FE0E07" w:rsidRDefault="009164BA" w:rsidP="00FE0E07">
      <w:pPr>
        <w:pStyle w:val="OCJENSKIRADOVIReferencija"/>
        <w:jc w:val="both"/>
        <w:rPr>
          <w:sz w:val="24"/>
        </w:rPr>
      </w:pPr>
      <w:bookmarkStart w:id="45" w:name="_Hlk100841376"/>
      <w:r>
        <w:rPr>
          <w:sz w:val="24"/>
        </w:rPr>
        <w:t xml:space="preserve">N. M. Moussa-Pacha. S. M. Abdin, H. A. Omar, H. Alniss, T. H. Al-Tel, </w:t>
      </w:r>
      <w:r w:rsidRPr="009164BA">
        <w:rPr>
          <w:i/>
          <w:sz w:val="24"/>
        </w:rPr>
        <w:t>Med Res Rev</w:t>
      </w:r>
      <w:r>
        <w:rPr>
          <w:sz w:val="24"/>
        </w:rPr>
        <w:t xml:space="preserve">. </w:t>
      </w:r>
      <w:r w:rsidRPr="009164BA">
        <w:rPr>
          <w:b/>
          <w:sz w:val="24"/>
        </w:rPr>
        <w:t>40</w:t>
      </w:r>
      <w:r>
        <w:rPr>
          <w:sz w:val="24"/>
        </w:rPr>
        <w:t xml:space="preserve"> (2019) 339 – 384.</w:t>
      </w:r>
    </w:p>
    <w:p w14:paraId="1CC04BFF" w14:textId="77777777" w:rsidR="009164BA" w:rsidRDefault="009164BA" w:rsidP="00FE0E07">
      <w:pPr>
        <w:pStyle w:val="OCJENSKIRADOVIReferencija"/>
        <w:jc w:val="both"/>
        <w:rPr>
          <w:sz w:val="24"/>
        </w:rPr>
      </w:pPr>
      <w:r>
        <w:rPr>
          <w:sz w:val="24"/>
        </w:rPr>
        <w:t xml:space="preserve">W. J. Lennarz, M. D. Lane, </w:t>
      </w:r>
      <w:r w:rsidRPr="009164BA">
        <w:rPr>
          <w:i/>
          <w:sz w:val="24"/>
        </w:rPr>
        <w:t>Encyclopedia of Biological Chemistry</w:t>
      </w:r>
      <w:r>
        <w:rPr>
          <w:sz w:val="24"/>
        </w:rPr>
        <w:t xml:space="preserve"> (2nd ed., 4v), Burlington, Elsevier, Inc., 2013., 137 – 140. </w:t>
      </w:r>
    </w:p>
    <w:p w14:paraId="1830334E" w14:textId="77777777" w:rsidR="009164BA" w:rsidRDefault="001F2710" w:rsidP="00FE0E07">
      <w:pPr>
        <w:pStyle w:val="OCJENSKIRADOVIReferencija"/>
        <w:jc w:val="both"/>
        <w:rPr>
          <w:sz w:val="24"/>
        </w:rPr>
      </w:pPr>
      <w:r>
        <w:rPr>
          <w:sz w:val="24"/>
        </w:rPr>
        <w:t xml:space="preserve">R. Yan, R. Vassar, </w:t>
      </w:r>
      <w:r w:rsidRPr="001F2710">
        <w:rPr>
          <w:i/>
          <w:sz w:val="24"/>
        </w:rPr>
        <w:t>Lancet Neurol</w:t>
      </w:r>
      <w:r>
        <w:rPr>
          <w:sz w:val="24"/>
        </w:rPr>
        <w:t xml:space="preserve"> </w:t>
      </w:r>
      <w:r w:rsidRPr="001F2710">
        <w:rPr>
          <w:b/>
          <w:sz w:val="24"/>
        </w:rPr>
        <w:t>13</w:t>
      </w:r>
      <w:r>
        <w:rPr>
          <w:sz w:val="24"/>
        </w:rPr>
        <w:t xml:space="preserve"> (2014) 319 – 329.</w:t>
      </w:r>
    </w:p>
    <w:p w14:paraId="0C2CFD9F" w14:textId="77777777" w:rsidR="001F2710" w:rsidRPr="00E44DBC" w:rsidRDefault="001F2710" w:rsidP="001F2710">
      <w:pPr>
        <w:pStyle w:val="OCJENSKIRADOVIReferencija"/>
        <w:jc w:val="both"/>
        <w:rPr>
          <w:sz w:val="24"/>
          <w:szCs w:val="24"/>
        </w:rPr>
      </w:pPr>
      <w:r w:rsidRPr="00E44DBC">
        <w:rPr>
          <w:sz w:val="24"/>
          <w:szCs w:val="24"/>
        </w:rPr>
        <w:t>C</w:t>
      </w:r>
      <w:r>
        <w:rPr>
          <w:sz w:val="24"/>
          <w:szCs w:val="24"/>
        </w:rPr>
        <w:t xml:space="preserve">. </w:t>
      </w:r>
      <w:r w:rsidRPr="00E44DBC">
        <w:rPr>
          <w:sz w:val="24"/>
          <w:szCs w:val="24"/>
        </w:rPr>
        <w:t>Venugopal, C</w:t>
      </w:r>
      <w:r>
        <w:rPr>
          <w:sz w:val="24"/>
          <w:szCs w:val="24"/>
        </w:rPr>
        <w:t>.</w:t>
      </w:r>
      <w:r w:rsidRPr="00E44DBC">
        <w:rPr>
          <w:sz w:val="24"/>
          <w:szCs w:val="24"/>
        </w:rPr>
        <w:t xml:space="preserve"> M. Demos, K.S. Jagannatha Rao, M</w:t>
      </w:r>
      <w:r>
        <w:rPr>
          <w:sz w:val="24"/>
          <w:szCs w:val="24"/>
        </w:rPr>
        <w:t xml:space="preserve">. </w:t>
      </w:r>
      <w:r w:rsidRPr="00E44DBC">
        <w:rPr>
          <w:sz w:val="24"/>
          <w:szCs w:val="24"/>
        </w:rPr>
        <w:t>A. Pappolla</w:t>
      </w:r>
      <w:r>
        <w:rPr>
          <w:sz w:val="24"/>
          <w:szCs w:val="24"/>
        </w:rPr>
        <w:t>,</w:t>
      </w:r>
      <w:r w:rsidRPr="00E44DBC">
        <w:rPr>
          <w:sz w:val="24"/>
          <w:szCs w:val="24"/>
        </w:rPr>
        <w:t xml:space="preserve"> K</w:t>
      </w:r>
      <w:r>
        <w:rPr>
          <w:sz w:val="24"/>
          <w:szCs w:val="24"/>
        </w:rPr>
        <w:t>.</w:t>
      </w:r>
      <w:r w:rsidRPr="00E44DBC">
        <w:rPr>
          <w:sz w:val="24"/>
          <w:szCs w:val="24"/>
        </w:rPr>
        <w:t xml:space="preserve"> Sambamurti</w:t>
      </w:r>
      <w:r>
        <w:rPr>
          <w:sz w:val="24"/>
          <w:szCs w:val="24"/>
        </w:rPr>
        <w:t xml:space="preserve">, </w:t>
      </w:r>
      <w:r w:rsidRPr="000B0AF7">
        <w:rPr>
          <w:bCs/>
          <w:i/>
          <w:sz w:val="24"/>
          <w:szCs w:val="24"/>
          <w:lang w:val="en-US"/>
        </w:rPr>
        <w:t>CNS</w:t>
      </w:r>
      <w:r w:rsidRPr="000B0AF7">
        <w:rPr>
          <w:i/>
          <w:sz w:val="24"/>
          <w:szCs w:val="24"/>
          <w:lang w:val="en-US"/>
        </w:rPr>
        <w:t> Neurol Disord </w:t>
      </w:r>
      <w:r w:rsidRPr="000B0AF7">
        <w:rPr>
          <w:bCs/>
          <w:i/>
          <w:sz w:val="24"/>
          <w:szCs w:val="24"/>
          <w:lang w:val="en-US"/>
        </w:rPr>
        <w:t>Drug Targets</w:t>
      </w:r>
      <w:r>
        <w:rPr>
          <w:bCs/>
          <w:i/>
          <w:sz w:val="24"/>
          <w:szCs w:val="24"/>
          <w:lang w:val="en-US"/>
        </w:rPr>
        <w:t xml:space="preserve"> </w:t>
      </w:r>
      <w:r>
        <w:rPr>
          <w:b/>
          <w:bCs/>
          <w:sz w:val="24"/>
          <w:szCs w:val="24"/>
          <w:lang w:val="en-US"/>
        </w:rPr>
        <w:t>7</w:t>
      </w:r>
      <w:r>
        <w:rPr>
          <w:bCs/>
          <w:sz w:val="24"/>
          <w:szCs w:val="24"/>
          <w:lang w:val="en-US"/>
        </w:rPr>
        <w:t xml:space="preserve"> (2008) 278 </w:t>
      </w:r>
      <w:r>
        <w:rPr>
          <w:sz w:val="24"/>
          <w:szCs w:val="24"/>
        </w:rPr>
        <w:t>–</w:t>
      </w:r>
      <w:r>
        <w:rPr>
          <w:bCs/>
          <w:sz w:val="24"/>
          <w:szCs w:val="24"/>
          <w:lang w:val="en-US"/>
        </w:rPr>
        <w:t xml:space="preserve"> 294.</w:t>
      </w:r>
    </w:p>
    <w:p w14:paraId="350A7EC6" w14:textId="77777777" w:rsidR="001F2710" w:rsidRPr="001F2710" w:rsidRDefault="001F2710" w:rsidP="00FE0E07">
      <w:pPr>
        <w:pStyle w:val="OCJENSKIRADOVIReferencija"/>
        <w:jc w:val="both"/>
        <w:rPr>
          <w:sz w:val="24"/>
        </w:rPr>
      </w:pPr>
      <w:r>
        <w:rPr>
          <w:sz w:val="24"/>
        </w:rPr>
        <w:t xml:space="preserve">D. L Nelson, M. M. Cox, </w:t>
      </w:r>
      <w:r w:rsidRPr="003530D9">
        <w:rPr>
          <w:i/>
          <w:sz w:val="24"/>
        </w:rPr>
        <w:t>Lehninger Principles of Biochemistry</w:t>
      </w:r>
      <w:r w:rsidRPr="00E44DBC">
        <w:rPr>
          <w:sz w:val="24"/>
        </w:rPr>
        <w:t xml:space="preserve"> </w:t>
      </w:r>
      <w:r>
        <w:rPr>
          <w:sz w:val="24"/>
        </w:rPr>
        <w:t>(4</w:t>
      </w:r>
      <w:r w:rsidRPr="00E44DBC">
        <w:rPr>
          <w:sz w:val="24"/>
        </w:rPr>
        <w:t>th ed</w:t>
      </w:r>
      <w:r>
        <w:rPr>
          <w:sz w:val="24"/>
        </w:rPr>
        <w:t xml:space="preserve">.) </w:t>
      </w:r>
      <w:r w:rsidRPr="003530D9">
        <w:rPr>
          <w:sz w:val="24"/>
          <w:lang w:val="en-US"/>
        </w:rPr>
        <w:t>W.H. Freeman and Company, New York, 2005</w:t>
      </w:r>
    </w:p>
    <w:p w14:paraId="6EAE4CBE" w14:textId="77777777" w:rsidR="001F2710" w:rsidRDefault="001F2710" w:rsidP="00FE0E07">
      <w:pPr>
        <w:pStyle w:val="OCJENSKIRADOVIReferencija"/>
        <w:jc w:val="both"/>
        <w:rPr>
          <w:sz w:val="24"/>
        </w:rPr>
      </w:pPr>
      <w:r>
        <w:rPr>
          <w:sz w:val="24"/>
        </w:rPr>
        <w:t xml:space="preserve">H. Hampel, R. Vassar, B. De Strooper, J. Hardy, M. Willem, N. Singh, J. Zhou, R. Yan, E. Vanmechelen, A. De Voos, R. Nistico, M. Corbo, B. P. Imbimbo, J. Streffer, I. Voytyuk, M. Timmers, A. Abbas Tahami Monfared, M. Irizarry,  B. Albala, A. Koyama, N. Watanabe, T. Kimura, L. Yarenis, S. Lista, L. Kramer, A. Vergallo, </w:t>
      </w:r>
      <w:r w:rsidRPr="00294FFA">
        <w:rPr>
          <w:i/>
          <w:sz w:val="24"/>
        </w:rPr>
        <w:t>Biol. Ps</w:t>
      </w:r>
      <w:r w:rsidR="00294FFA" w:rsidRPr="00294FFA">
        <w:rPr>
          <w:i/>
          <w:sz w:val="24"/>
        </w:rPr>
        <w:t>ychiatry</w:t>
      </w:r>
      <w:r w:rsidR="00294FFA">
        <w:rPr>
          <w:sz w:val="24"/>
        </w:rPr>
        <w:t xml:space="preserve"> </w:t>
      </w:r>
      <w:r w:rsidR="00294FFA" w:rsidRPr="00294FFA">
        <w:rPr>
          <w:b/>
          <w:sz w:val="24"/>
        </w:rPr>
        <w:t>89</w:t>
      </w:r>
      <w:r w:rsidR="00294FFA">
        <w:rPr>
          <w:sz w:val="24"/>
        </w:rPr>
        <w:t xml:space="preserve"> (2021) 745 – 756.</w:t>
      </w:r>
    </w:p>
    <w:p w14:paraId="2FC2F48F" w14:textId="77777777" w:rsidR="004C4133" w:rsidRDefault="004C4133" w:rsidP="00FE0E07">
      <w:pPr>
        <w:pStyle w:val="OCJENSKIRADOVIReferencija"/>
        <w:jc w:val="both"/>
        <w:rPr>
          <w:sz w:val="24"/>
        </w:rPr>
      </w:pPr>
      <w:r>
        <w:rPr>
          <w:sz w:val="24"/>
        </w:rPr>
        <w:t xml:space="preserve">A. Schmechel, M. Strauss, A. Schlicksupp, R. Pipkorn, C. Haass, T. A. Bayer, G. Multhaup, </w:t>
      </w:r>
      <w:r w:rsidRPr="004C4133">
        <w:rPr>
          <w:i/>
          <w:sz w:val="24"/>
        </w:rPr>
        <w:t>J. Biol. Chemistry</w:t>
      </w:r>
      <w:r>
        <w:rPr>
          <w:sz w:val="24"/>
        </w:rPr>
        <w:t xml:space="preserve"> </w:t>
      </w:r>
      <w:r w:rsidRPr="004C4133">
        <w:rPr>
          <w:b/>
          <w:sz w:val="24"/>
        </w:rPr>
        <w:t>279</w:t>
      </w:r>
      <w:r>
        <w:rPr>
          <w:sz w:val="24"/>
        </w:rPr>
        <w:t xml:space="preserve"> (2004) 39710 – 39717.</w:t>
      </w:r>
    </w:p>
    <w:p w14:paraId="652CDC34" w14:textId="77777777" w:rsidR="004C4133" w:rsidRDefault="004C4133" w:rsidP="00FE0E07">
      <w:pPr>
        <w:pStyle w:val="OCJENSKIRADOVIReferencija"/>
        <w:jc w:val="both"/>
        <w:rPr>
          <w:sz w:val="24"/>
        </w:rPr>
      </w:pPr>
      <w:r>
        <w:rPr>
          <w:sz w:val="24"/>
        </w:rPr>
        <w:t xml:space="preserve">G. G. Westmeyer, M. Willem, S. F. Lichtenthaler, G. Lurman, G. Multhaup, I. Assfalg-Machleidt, K. Reiss, P. Saftig, C. Haass, </w:t>
      </w:r>
      <w:r w:rsidRPr="004C4133">
        <w:rPr>
          <w:i/>
          <w:sz w:val="24"/>
        </w:rPr>
        <w:t>J. Biol. Chemistry</w:t>
      </w:r>
      <w:r>
        <w:rPr>
          <w:sz w:val="24"/>
        </w:rPr>
        <w:t xml:space="preserve"> </w:t>
      </w:r>
      <w:r w:rsidRPr="004C4133">
        <w:rPr>
          <w:b/>
          <w:sz w:val="24"/>
        </w:rPr>
        <w:t>279</w:t>
      </w:r>
      <w:r>
        <w:rPr>
          <w:sz w:val="24"/>
        </w:rPr>
        <w:t xml:space="preserve"> (2004) 53205 – 53212.</w:t>
      </w:r>
    </w:p>
    <w:p w14:paraId="050890F5" w14:textId="77777777" w:rsidR="004C4133" w:rsidRPr="00E44DBC" w:rsidRDefault="004C4133" w:rsidP="004C4133">
      <w:pPr>
        <w:pStyle w:val="OCJENSKIRADOVIReferencija"/>
        <w:jc w:val="both"/>
        <w:rPr>
          <w:sz w:val="24"/>
          <w:szCs w:val="24"/>
        </w:rPr>
      </w:pPr>
      <w:bookmarkStart w:id="46" w:name="_Hlk112323102"/>
      <w:r w:rsidRPr="00E44DBC">
        <w:rPr>
          <w:sz w:val="24"/>
          <w:szCs w:val="24"/>
        </w:rPr>
        <w:t>D</w:t>
      </w:r>
      <w:r>
        <w:rPr>
          <w:sz w:val="24"/>
          <w:szCs w:val="24"/>
        </w:rPr>
        <w:t>.</w:t>
      </w:r>
      <w:r w:rsidRPr="00E44DBC">
        <w:rPr>
          <w:sz w:val="24"/>
          <w:szCs w:val="24"/>
        </w:rPr>
        <w:t xml:space="preserve"> J. Selkoe</w:t>
      </w:r>
      <w:r>
        <w:rPr>
          <w:sz w:val="24"/>
          <w:szCs w:val="24"/>
        </w:rPr>
        <w:t>,</w:t>
      </w:r>
      <w:r w:rsidRPr="00E44DBC">
        <w:rPr>
          <w:sz w:val="24"/>
          <w:szCs w:val="24"/>
        </w:rPr>
        <w:t xml:space="preserve"> M</w:t>
      </w:r>
      <w:r>
        <w:rPr>
          <w:sz w:val="24"/>
          <w:szCs w:val="24"/>
        </w:rPr>
        <w:t>.</w:t>
      </w:r>
      <w:r w:rsidRPr="00E44DBC">
        <w:rPr>
          <w:sz w:val="24"/>
          <w:szCs w:val="24"/>
        </w:rPr>
        <w:t xml:space="preserve"> B. Podlisny</w:t>
      </w:r>
      <w:r>
        <w:rPr>
          <w:sz w:val="24"/>
          <w:szCs w:val="24"/>
        </w:rPr>
        <w:t xml:space="preserve">, </w:t>
      </w:r>
      <w:r w:rsidRPr="001E3BF7">
        <w:rPr>
          <w:i/>
          <w:sz w:val="24"/>
          <w:szCs w:val="24"/>
          <w:lang w:val="en-US"/>
        </w:rPr>
        <w:t>Annu. Rev. Genomics Hum. Genet</w:t>
      </w:r>
      <w:r>
        <w:rPr>
          <w:i/>
          <w:sz w:val="24"/>
          <w:szCs w:val="24"/>
          <w:lang w:val="en-US"/>
        </w:rPr>
        <w:t xml:space="preserve">. </w:t>
      </w:r>
      <w:r>
        <w:rPr>
          <w:b/>
          <w:sz w:val="24"/>
          <w:szCs w:val="24"/>
          <w:lang w:val="en-US"/>
        </w:rPr>
        <w:t>3</w:t>
      </w:r>
      <w:r>
        <w:rPr>
          <w:sz w:val="24"/>
          <w:szCs w:val="24"/>
          <w:lang w:val="en-US"/>
        </w:rPr>
        <w:t xml:space="preserve"> (2002) 67 – 99.</w:t>
      </w:r>
    </w:p>
    <w:bookmarkEnd w:id="46"/>
    <w:p w14:paraId="34ADC738" w14:textId="77777777" w:rsidR="004C4133" w:rsidRDefault="004C4133" w:rsidP="00FE0E07">
      <w:pPr>
        <w:pStyle w:val="OCJENSKIRADOVIReferencija"/>
        <w:jc w:val="both"/>
        <w:rPr>
          <w:sz w:val="24"/>
        </w:rPr>
      </w:pPr>
      <w:r>
        <w:rPr>
          <w:sz w:val="24"/>
        </w:rPr>
        <w:t>A. Asim, A. Kumar, S. Muthuswa</w:t>
      </w:r>
      <w:r w:rsidR="00194B8A">
        <w:rPr>
          <w:sz w:val="24"/>
        </w:rPr>
        <w:t>m</w:t>
      </w:r>
      <w:r>
        <w:rPr>
          <w:sz w:val="24"/>
        </w:rPr>
        <w:t>y, S. Jain, S. A</w:t>
      </w:r>
      <w:r w:rsidR="00194B8A">
        <w:rPr>
          <w:sz w:val="24"/>
        </w:rPr>
        <w:t xml:space="preserve">garwal, </w:t>
      </w:r>
      <w:r w:rsidR="00194B8A" w:rsidRPr="00194B8A">
        <w:rPr>
          <w:i/>
          <w:sz w:val="24"/>
        </w:rPr>
        <w:t>J Biomed Sci.</w:t>
      </w:r>
      <w:r w:rsidR="00194B8A">
        <w:rPr>
          <w:sz w:val="24"/>
        </w:rPr>
        <w:t xml:space="preserve"> </w:t>
      </w:r>
      <w:r w:rsidR="00194B8A">
        <w:rPr>
          <w:b/>
          <w:sz w:val="24"/>
        </w:rPr>
        <w:t>22</w:t>
      </w:r>
      <w:r w:rsidR="00194B8A">
        <w:rPr>
          <w:sz w:val="24"/>
        </w:rPr>
        <w:t xml:space="preserve"> (2015)</w:t>
      </w:r>
    </w:p>
    <w:p w14:paraId="09C07C60" w14:textId="77777777" w:rsidR="00194B8A" w:rsidRPr="00470B26" w:rsidRDefault="00194B8A" w:rsidP="00194B8A">
      <w:pPr>
        <w:pStyle w:val="OCJENSKIRADOVIReferencija"/>
        <w:jc w:val="both"/>
        <w:rPr>
          <w:sz w:val="24"/>
          <w:szCs w:val="24"/>
        </w:rPr>
      </w:pPr>
      <w:r w:rsidRPr="00470B26">
        <w:rPr>
          <w:sz w:val="24"/>
          <w:szCs w:val="24"/>
        </w:rPr>
        <w:t>G. G. Glenner, C. W. W</w:t>
      </w:r>
      <w:r>
        <w:rPr>
          <w:sz w:val="24"/>
          <w:szCs w:val="24"/>
        </w:rPr>
        <w:t xml:space="preserve">ong, </w:t>
      </w:r>
      <w:r w:rsidRPr="00470B26">
        <w:rPr>
          <w:i/>
          <w:sz w:val="24"/>
          <w:lang w:val="en-US"/>
        </w:rPr>
        <w:t>Biochem</w:t>
      </w:r>
      <w:r>
        <w:rPr>
          <w:i/>
          <w:sz w:val="24"/>
          <w:lang w:val="en-US"/>
        </w:rPr>
        <w:t>.</w:t>
      </w:r>
      <w:r w:rsidRPr="00470B26">
        <w:rPr>
          <w:i/>
          <w:sz w:val="24"/>
          <w:lang w:val="en-US"/>
        </w:rPr>
        <w:t xml:space="preserve"> Biophys</w:t>
      </w:r>
      <w:r>
        <w:rPr>
          <w:i/>
          <w:sz w:val="24"/>
          <w:lang w:val="en-US"/>
        </w:rPr>
        <w:t>.</w:t>
      </w:r>
      <w:r w:rsidRPr="00470B26">
        <w:rPr>
          <w:i/>
          <w:sz w:val="24"/>
          <w:lang w:val="en-US"/>
        </w:rPr>
        <w:t xml:space="preserve"> Res</w:t>
      </w:r>
      <w:r>
        <w:rPr>
          <w:i/>
          <w:sz w:val="24"/>
          <w:lang w:val="en-US"/>
        </w:rPr>
        <w:t>.</w:t>
      </w:r>
      <w:r w:rsidRPr="00470B26">
        <w:rPr>
          <w:i/>
          <w:sz w:val="24"/>
          <w:lang w:val="en-US"/>
        </w:rPr>
        <w:t xml:space="preserve"> Commun</w:t>
      </w:r>
      <w:r>
        <w:rPr>
          <w:i/>
          <w:sz w:val="24"/>
          <w:lang w:val="en-US"/>
        </w:rPr>
        <w:t xml:space="preserve"> </w:t>
      </w:r>
      <w:r>
        <w:rPr>
          <w:b/>
          <w:sz w:val="24"/>
          <w:lang w:val="en-US"/>
        </w:rPr>
        <w:t>120</w:t>
      </w:r>
      <w:r w:rsidRPr="00E44DBC">
        <w:rPr>
          <w:i/>
          <w:sz w:val="24"/>
          <w:szCs w:val="24"/>
        </w:rPr>
        <w:t xml:space="preserve"> </w:t>
      </w:r>
      <w:r w:rsidRPr="00470B26">
        <w:rPr>
          <w:sz w:val="24"/>
          <w:szCs w:val="24"/>
        </w:rPr>
        <w:t>(1984)</w:t>
      </w:r>
      <w:r>
        <w:rPr>
          <w:sz w:val="24"/>
          <w:szCs w:val="24"/>
        </w:rPr>
        <w:t xml:space="preserve"> 885 </w:t>
      </w:r>
      <w:r>
        <w:rPr>
          <w:sz w:val="24"/>
          <w:szCs w:val="24"/>
          <w:lang w:val="en-US"/>
        </w:rPr>
        <w:t>–</w:t>
      </w:r>
      <w:r>
        <w:rPr>
          <w:sz w:val="24"/>
          <w:szCs w:val="24"/>
        </w:rPr>
        <w:t xml:space="preserve"> 890.</w:t>
      </w:r>
    </w:p>
    <w:p w14:paraId="387017DD" w14:textId="77777777" w:rsidR="00194B8A" w:rsidRDefault="00194B8A" w:rsidP="00194B8A">
      <w:pPr>
        <w:pStyle w:val="OCJENSKIRADOVIReferencija"/>
        <w:jc w:val="both"/>
        <w:rPr>
          <w:sz w:val="24"/>
        </w:rPr>
      </w:pPr>
      <w:r w:rsidRPr="00E44DBC">
        <w:rPr>
          <w:sz w:val="24"/>
        </w:rPr>
        <w:t>G</w:t>
      </w:r>
      <w:r>
        <w:rPr>
          <w:sz w:val="24"/>
        </w:rPr>
        <w:t>.</w:t>
      </w:r>
      <w:r w:rsidRPr="00E44DBC">
        <w:rPr>
          <w:sz w:val="24"/>
        </w:rPr>
        <w:t xml:space="preserve"> G</w:t>
      </w:r>
      <w:r>
        <w:rPr>
          <w:sz w:val="24"/>
        </w:rPr>
        <w:t>.</w:t>
      </w:r>
      <w:r w:rsidRPr="00E44DBC">
        <w:rPr>
          <w:sz w:val="24"/>
        </w:rPr>
        <w:t xml:space="preserve"> Glenner, C</w:t>
      </w:r>
      <w:r>
        <w:rPr>
          <w:sz w:val="24"/>
        </w:rPr>
        <w:t>.</w:t>
      </w:r>
      <w:r w:rsidRPr="00E44DBC">
        <w:rPr>
          <w:sz w:val="24"/>
        </w:rPr>
        <w:t xml:space="preserve"> </w:t>
      </w:r>
      <w:r>
        <w:rPr>
          <w:sz w:val="24"/>
        </w:rPr>
        <w:t>W.</w:t>
      </w:r>
      <w:r w:rsidRPr="00E44DBC">
        <w:rPr>
          <w:sz w:val="24"/>
        </w:rPr>
        <w:t xml:space="preserve"> Wong</w:t>
      </w:r>
      <w:r>
        <w:rPr>
          <w:sz w:val="24"/>
        </w:rPr>
        <w:t xml:space="preserve">, </w:t>
      </w:r>
      <w:r w:rsidRPr="00470B26">
        <w:rPr>
          <w:i/>
          <w:sz w:val="24"/>
          <w:lang w:val="en-US"/>
        </w:rPr>
        <w:t>Biochem</w:t>
      </w:r>
      <w:r>
        <w:rPr>
          <w:i/>
          <w:sz w:val="24"/>
          <w:lang w:val="en-US"/>
        </w:rPr>
        <w:t>.</w:t>
      </w:r>
      <w:r w:rsidRPr="00470B26">
        <w:rPr>
          <w:i/>
          <w:sz w:val="24"/>
          <w:lang w:val="en-US"/>
        </w:rPr>
        <w:t xml:space="preserve"> Biophys</w:t>
      </w:r>
      <w:r>
        <w:rPr>
          <w:i/>
          <w:sz w:val="24"/>
          <w:lang w:val="en-US"/>
        </w:rPr>
        <w:t>.</w:t>
      </w:r>
      <w:r w:rsidRPr="00470B26">
        <w:rPr>
          <w:i/>
          <w:sz w:val="24"/>
          <w:lang w:val="en-US"/>
        </w:rPr>
        <w:t xml:space="preserve"> Res</w:t>
      </w:r>
      <w:r>
        <w:rPr>
          <w:i/>
          <w:sz w:val="24"/>
          <w:lang w:val="en-US"/>
        </w:rPr>
        <w:t>.</w:t>
      </w:r>
      <w:r w:rsidRPr="00470B26">
        <w:rPr>
          <w:i/>
          <w:sz w:val="24"/>
          <w:lang w:val="en-US"/>
        </w:rPr>
        <w:t xml:space="preserve"> Commun</w:t>
      </w:r>
      <w:r>
        <w:rPr>
          <w:i/>
          <w:sz w:val="24"/>
          <w:lang w:val="en-US"/>
        </w:rPr>
        <w:t xml:space="preserve">. </w:t>
      </w:r>
      <w:r>
        <w:rPr>
          <w:b/>
          <w:sz w:val="24"/>
          <w:lang w:val="en-US"/>
        </w:rPr>
        <w:t>122</w:t>
      </w:r>
      <w:r>
        <w:rPr>
          <w:sz w:val="24"/>
          <w:lang w:val="en-US"/>
        </w:rPr>
        <w:t xml:space="preserve"> (1984) 1131 </w:t>
      </w:r>
      <w:r>
        <w:rPr>
          <w:sz w:val="24"/>
          <w:szCs w:val="24"/>
          <w:lang w:val="en-US"/>
        </w:rPr>
        <w:t>–</w:t>
      </w:r>
      <w:r>
        <w:rPr>
          <w:sz w:val="24"/>
          <w:lang w:val="en-US"/>
        </w:rPr>
        <w:t xml:space="preserve"> 1135.</w:t>
      </w:r>
    </w:p>
    <w:p w14:paraId="3F503A79" w14:textId="77777777" w:rsidR="00194B8A" w:rsidRPr="00E44DBC" w:rsidRDefault="00194B8A" w:rsidP="00194B8A">
      <w:pPr>
        <w:pStyle w:val="OCJENSKIRADOVIReferencija"/>
        <w:jc w:val="both"/>
        <w:rPr>
          <w:sz w:val="24"/>
        </w:rPr>
      </w:pPr>
      <w:r w:rsidRPr="00E44DBC">
        <w:rPr>
          <w:sz w:val="24"/>
        </w:rPr>
        <w:t>E</w:t>
      </w:r>
      <w:r>
        <w:rPr>
          <w:sz w:val="24"/>
        </w:rPr>
        <w:t>.</w:t>
      </w:r>
      <w:r w:rsidRPr="00E44DBC">
        <w:rPr>
          <w:sz w:val="24"/>
        </w:rPr>
        <w:t xml:space="preserve"> L</w:t>
      </w:r>
      <w:r>
        <w:rPr>
          <w:sz w:val="24"/>
        </w:rPr>
        <w:t>evy</w:t>
      </w:r>
      <w:r w:rsidRPr="00E44DBC">
        <w:rPr>
          <w:sz w:val="24"/>
        </w:rPr>
        <w:t>,</w:t>
      </w:r>
      <w:r>
        <w:rPr>
          <w:sz w:val="24"/>
        </w:rPr>
        <w:t xml:space="preserve"> </w:t>
      </w:r>
      <w:r w:rsidRPr="00E44DBC">
        <w:rPr>
          <w:sz w:val="24"/>
        </w:rPr>
        <w:t>M</w:t>
      </w:r>
      <w:r>
        <w:rPr>
          <w:sz w:val="24"/>
        </w:rPr>
        <w:t>.</w:t>
      </w:r>
      <w:r w:rsidRPr="00E44DBC">
        <w:rPr>
          <w:sz w:val="24"/>
        </w:rPr>
        <w:t xml:space="preserve"> D. C</w:t>
      </w:r>
      <w:r>
        <w:rPr>
          <w:sz w:val="24"/>
        </w:rPr>
        <w:t>arman</w:t>
      </w:r>
      <w:r w:rsidRPr="00E44DBC">
        <w:rPr>
          <w:sz w:val="24"/>
        </w:rPr>
        <w:t>, I</w:t>
      </w:r>
      <w:r>
        <w:rPr>
          <w:sz w:val="24"/>
        </w:rPr>
        <w:t>.</w:t>
      </w:r>
      <w:r w:rsidRPr="00E44DBC">
        <w:rPr>
          <w:sz w:val="24"/>
        </w:rPr>
        <w:t xml:space="preserve"> J. F</w:t>
      </w:r>
      <w:r>
        <w:rPr>
          <w:sz w:val="24"/>
        </w:rPr>
        <w:t xml:space="preserve">ernandez </w:t>
      </w:r>
      <w:r>
        <w:rPr>
          <w:sz w:val="24"/>
          <w:szCs w:val="24"/>
          <w:lang w:val="en-US"/>
        </w:rPr>
        <w:t>–</w:t>
      </w:r>
      <w:r>
        <w:rPr>
          <w:sz w:val="24"/>
        </w:rPr>
        <w:t xml:space="preserve"> </w:t>
      </w:r>
      <w:r w:rsidRPr="00E44DBC">
        <w:rPr>
          <w:sz w:val="24"/>
        </w:rPr>
        <w:t>M</w:t>
      </w:r>
      <w:r>
        <w:rPr>
          <w:sz w:val="24"/>
        </w:rPr>
        <w:t>adrid</w:t>
      </w:r>
      <w:r w:rsidRPr="00E44DBC">
        <w:rPr>
          <w:sz w:val="24"/>
        </w:rPr>
        <w:t>, M</w:t>
      </w:r>
      <w:r>
        <w:rPr>
          <w:sz w:val="24"/>
        </w:rPr>
        <w:t>.</w:t>
      </w:r>
      <w:r w:rsidRPr="00E44DBC">
        <w:rPr>
          <w:sz w:val="24"/>
        </w:rPr>
        <w:t xml:space="preserve"> D. Pow</w:t>
      </w:r>
      <w:r>
        <w:rPr>
          <w:sz w:val="24"/>
        </w:rPr>
        <w:t>er</w:t>
      </w:r>
      <w:r w:rsidRPr="00E44DBC">
        <w:rPr>
          <w:sz w:val="24"/>
        </w:rPr>
        <w:t>, I</w:t>
      </w:r>
      <w:r>
        <w:rPr>
          <w:sz w:val="24"/>
        </w:rPr>
        <w:t>.</w:t>
      </w:r>
      <w:r w:rsidRPr="00E44DBC">
        <w:rPr>
          <w:sz w:val="24"/>
        </w:rPr>
        <w:t xml:space="preserve"> L</w:t>
      </w:r>
      <w:r>
        <w:rPr>
          <w:sz w:val="24"/>
        </w:rPr>
        <w:t>ieberburg</w:t>
      </w:r>
      <w:r w:rsidRPr="00E44DBC">
        <w:rPr>
          <w:sz w:val="24"/>
        </w:rPr>
        <w:t>, S</w:t>
      </w:r>
      <w:r>
        <w:rPr>
          <w:sz w:val="24"/>
        </w:rPr>
        <w:t>.</w:t>
      </w:r>
      <w:r w:rsidRPr="00E44DBC">
        <w:rPr>
          <w:sz w:val="24"/>
        </w:rPr>
        <w:t xml:space="preserve"> G. v</w:t>
      </w:r>
      <w:r>
        <w:rPr>
          <w:sz w:val="24"/>
        </w:rPr>
        <w:t>an</w:t>
      </w:r>
      <w:r w:rsidRPr="00E44DBC">
        <w:rPr>
          <w:sz w:val="24"/>
        </w:rPr>
        <w:t xml:space="preserve"> D</w:t>
      </w:r>
      <w:r>
        <w:rPr>
          <w:sz w:val="24"/>
        </w:rPr>
        <w:t>uinen</w:t>
      </w:r>
      <w:r w:rsidRPr="00E44DBC">
        <w:rPr>
          <w:sz w:val="24"/>
        </w:rPr>
        <w:t>, G</w:t>
      </w:r>
      <w:r>
        <w:rPr>
          <w:sz w:val="24"/>
        </w:rPr>
        <w:t>.</w:t>
      </w:r>
      <w:r w:rsidRPr="00E44DBC">
        <w:rPr>
          <w:sz w:val="24"/>
        </w:rPr>
        <w:t xml:space="preserve"> T. B</w:t>
      </w:r>
      <w:r>
        <w:rPr>
          <w:sz w:val="24"/>
        </w:rPr>
        <w:t>ots</w:t>
      </w:r>
      <w:r w:rsidRPr="00E44DBC">
        <w:rPr>
          <w:sz w:val="24"/>
        </w:rPr>
        <w:t>, W</w:t>
      </w:r>
      <w:r>
        <w:rPr>
          <w:sz w:val="24"/>
        </w:rPr>
        <w:t>.</w:t>
      </w:r>
      <w:r w:rsidRPr="00E44DBC">
        <w:rPr>
          <w:sz w:val="24"/>
        </w:rPr>
        <w:t xml:space="preserve"> L</w:t>
      </w:r>
      <w:r>
        <w:rPr>
          <w:sz w:val="24"/>
        </w:rPr>
        <w:t>uyendijk</w:t>
      </w:r>
      <w:r w:rsidRPr="00E44DBC">
        <w:rPr>
          <w:sz w:val="24"/>
        </w:rPr>
        <w:t>, B</w:t>
      </w:r>
      <w:r>
        <w:rPr>
          <w:sz w:val="24"/>
        </w:rPr>
        <w:t>.</w:t>
      </w:r>
      <w:r w:rsidRPr="00E44DBC">
        <w:rPr>
          <w:sz w:val="24"/>
        </w:rPr>
        <w:t xml:space="preserve"> F</w:t>
      </w:r>
      <w:r>
        <w:rPr>
          <w:sz w:val="24"/>
        </w:rPr>
        <w:t xml:space="preserve">rangione, </w:t>
      </w:r>
      <w:r>
        <w:rPr>
          <w:i/>
          <w:sz w:val="24"/>
        </w:rPr>
        <w:t>Science.</w:t>
      </w:r>
      <w:r>
        <w:rPr>
          <w:sz w:val="24"/>
        </w:rPr>
        <w:t xml:space="preserve"> </w:t>
      </w:r>
      <w:r>
        <w:rPr>
          <w:b/>
          <w:sz w:val="24"/>
        </w:rPr>
        <w:t>248</w:t>
      </w:r>
      <w:r>
        <w:rPr>
          <w:sz w:val="24"/>
        </w:rPr>
        <w:t xml:space="preserve"> (1990) 1124 </w:t>
      </w:r>
      <w:r>
        <w:rPr>
          <w:sz w:val="24"/>
          <w:szCs w:val="24"/>
          <w:lang w:val="en-US"/>
        </w:rPr>
        <w:t>–</w:t>
      </w:r>
      <w:r>
        <w:rPr>
          <w:sz w:val="24"/>
        </w:rPr>
        <w:t xml:space="preserve"> 1126.</w:t>
      </w:r>
    </w:p>
    <w:p w14:paraId="03E00ED9" w14:textId="77777777" w:rsidR="00194B8A" w:rsidRPr="00E44DBC" w:rsidRDefault="00194B8A" w:rsidP="00194B8A">
      <w:pPr>
        <w:pStyle w:val="OCJENSKIRADOVIReferencija"/>
        <w:jc w:val="both"/>
        <w:rPr>
          <w:sz w:val="24"/>
        </w:rPr>
      </w:pPr>
      <w:r w:rsidRPr="00E44DBC">
        <w:rPr>
          <w:sz w:val="24"/>
        </w:rPr>
        <w:t>A</w:t>
      </w:r>
      <w:r>
        <w:rPr>
          <w:sz w:val="24"/>
        </w:rPr>
        <w:t>.</w:t>
      </w:r>
      <w:r w:rsidRPr="00E44DBC">
        <w:rPr>
          <w:sz w:val="24"/>
        </w:rPr>
        <w:t xml:space="preserve"> Goate, M</w:t>
      </w:r>
      <w:r>
        <w:rPr>
          <w:sz w:val="24"/>
        </w:rPr>
        <w:t>.</w:t>
      </w:r>
      <w:r w:rsidRPr="00E44DBC">
        <w:rPr>
          <w:sz w:val="24"/>
        </w:rPr>
        <w:t xml:space="preserve"> C</w:t>
      </w:r>
      <w:r>
        <w:rPr>
          <w:sz w:val="24"/>
        </w:rPr>
        <w:t>.</w:t>
      </w:r>
      <w:r w:rsidRPr="00E44DBC">
        <w:rPr>
          <w:sz w:val="24"/>
        </w:rPr>
        <w:t xml:space="preserve"> Chartier-Harlin, M</w:t>
      </w:r>
      <w:r>
        <w:rPr>
          <w:sz w:val="24"/>
        </w:rPr>
        <w:t>.</w:t>
      </w:r>
      <w:r w:rsidRPr="00E44DBC">
        <w:rPr>
          <w:sz w:val="24"/>
        </w:rPr>
        <w:t xml:space="preserve"> Mullan, J</w:t>
      </w:r>
      <w:r>
        <w:rPr>
          <w:sz w:val="24"/>
        </w:rPr>
        <w:t>.</w:t>
      </w:r>
      <w:r w:rsidRPr="00E44DBC">
        <w:rPr>
          <w:sz w:val="24"/>
        </w:rPr>
        <w:t xml:space="preserve"> Brown, F</w:t>
      </w:r>
      <w:r>
        <w:rPr>
          <w:sz w:val="24"/>
        </w:rPr>
        <w:t xml:space="preserve">. </w:t>
      </w:r>
      <w:r w:rsidRPr="00E44DBC">
        <w:rPr>
          <w:sz w:val="24"/>
        </w:rPr>
        <w:t>Crawford, L</w:t>
      </w:r>
      <w:r>
        <w:rPr>
          <w:sz w:val="24"/>
        </w:rPr>
        <w:t>.</w:t>
      </w:r>
      <w:r w:rsidRPr="00E44DBC">
        <w:rPr>
          <w:sz w:val="24"/>
        </w:rPr>
        <w:t xml:space="preserve"> Fidani, L</w:t>
      </w:r>
      <w:r>
        <w:rPr>
          <w:sz w:val="24"/>
        </w:rPr>
        <w:t>.</w:t>
      </w:r>
      <w:r w:rsidRPr="00E44DBC">
        <w:rPr>
          <w:sz w:val="24"/>
        </w:rPr>
        <w:t xml:space="preserve"> Giuffra, A</w:t>
      </w:r>
      <w:r>
        <w:rPr>
          <w:sz w:val="24"/>
        </w:rPr>
        <w:t>.</w:t>
      </w:r>
      <w:r w:rsidRPr="00E44DBC">
        <w:rPr>
          <w:sz w:val="24"/>
        </w:rPr>
        <w:t xml:space="preserve"> Haynes, N</w:t>
      </w:r>
      <w:r>
        <w:rPr>
          <w:sz w:val="24"/>
        </w:rPr>
        <w:t>.</w:t>
      </w:r>
      <w:r w:rsidRPr="00E44DBC">
        <w:rPr>
          <w:sz w:val="24"/>
        </w:rPr>
        <w:t xml:space="preserve"> Irving, L</w:t>
      </w:r>
      <w:r>
        <w:rPr>
          <w:sz w:val="24"/>
        </w:rPr>
        <w:t>.</w:t>
      </w:r>
      <w:r w:rsidRPr="00E44DBC">
        <w:rPr>
          <w:sz w:val="24"/>
        </w:rPr>
        <w:t xml:space="preserve"> James, R</w:t>
      </w:r>
      <w:r>
        <w:rPr>
          <w:sz w:val="24"/>
        </w:rPr>
        <w:t>.</w:t>
      </w:r>
      <w:r w:rsidRPr="00E44DBC">
        <w:rPr>
          <w:sz w:val="24"/>
        </w:rPr>
        <w:t xml:space="preserve"> Mant, P</w:t>
      </w:r>
      <w:r>
        <w:rPr>
          <w:sz w:val="24"/>
        </w:rPr>
        <w:t>.</w:t>
      </w:r>
      <w:r w:rsidRPr="00E44DBC">
        <w:rPr>
          <w:sz w:val="24"/>
        </w:rPr>
        <w:t xml:space="preserve"> Newton, K</w:t>
      </w:r>
      <w:r>
        <w:rPr>
          <w:sz w:val="24"/>
        </w:rPr>
        <w:t>.</w:t>
      </w:r>
      <w:r w:rsidRPr="00E44DBC">
        <w:rPr>
          <w:sz w:val="24"/>
        </w:rPr>
        <w:t xml:space="preserve"> Rooke, P</w:t>
      </w:r>
      <w:r>
        <w:rPr>
          <w:sz w:val="24"/>
        </w:rPr>
        <w:t>.</w:t>
      </w:r>
      <w:r w:rsidRPr="00E44DBC">
        <w:rPr>
          <w:sz w:val="24"/>
        </w:rPr>
        <w:t xml:space="preserve"> Roques, C</w:t>
      </w:r>
      <w:r>
        <w:rPr>
          <w:sz w:val="24"/>
        </w:rPr>
        <w:t>.</w:t>
      </w:r>
      <w:r w:rsidRPr="00E44DBC">
        <w:rPr>
          <w:sz w:val="24"/>
        </w:rPr>
        <w:t xml:space="preserve"> Talbot, M</w:t>
      </w:r>
      <w:r>
        <w:rPr>
          <w:sz w:val="24"/>
        </w:rPr>
        <w:t>.</w:t>
      </w:r>
      <w:r w:rsidRPr="00E44DBC">
        <w:rPr>
          <w:sz w:val="24"/>
        </w:rPr>
        <w:t xml:space="preserve"> Pericak-Vance, A</w:t>
      </w:r>
      <w:r>
        <w:rPr>
          <w:sz w:val="24"/>
        </w:rPr>
        <w:t>.</w:t>
      </w:r>
      <w:r w:rsidRPr="00E44DBC">
        <w:rPr>
          <w:sz w:val="24"/>
        </w:rPr>
        <w:t xml:space="preserve"> Roses, R</w:t>
      </w:r>
      <w:r>
        <w:rPr>
          <w:sz w:val="24"/>
        </w:rPr>
        <w:t>.</w:t>
      </w:r>
      <w:r w:rsidRPr="00E44DBC">
        <w:rPr>
          <w:sz w:val="24"/>
        </w:rPr>
        <w:t xml:space="preserve"> Williamson, M</w:t>
      </w:r>
      <w:r>
        <w:rPr>
          <w:sz w:val="24"/>
        </w:rPr>
        <w:t>.</w:t>
      </w:r>
      <w:r w:rsidRPr="00E44DBC">
        <w:rPr>
          <w:sz w:val="24"/>
        </w:rPr>
        <w:t xml:space="preserve"> Rossor, M</w:t>
      </w:r>
      <w:r>
        <w:rPr>
          <w:sz w:val="24"/>
        </w:rPr>
        <w:t>.</w:t>
      </w:r>
      <w:r w:rsidRPr="00E44DBC">
        <w:rPr>
          <w:sz w:val="24"/>
        </w:rPr>
        <w:t xml:space="preserve"> Owen</w:t>
      </w:r>
      <w:r>
        <w:rPr>
          <w:sz w:val="24"/>
        </w:rPr>
        <w:t xml:space="preserve">, </w:t>
      </w:r>
      <w:r>
        <w:rPr>
          <w:i/>
          <w:sz w:val="24"/>
        </w:rPr>
        <w:t>Nature.</w:t>
      </w:r>
      <w:r>
        <w:rPr>
          <w:sz w:val="24"/>
        </w:rPr>
        <w:t xml:space="preserve"> </w:t>
      </w:r>
      <w:r>
        <w:rPr>
          <w:b/>
          <w:sz w:val="24"/>
        </w:rPr>
        <w:t>349</w:t>
      </w:r>
      <w:r>
        <w:rPr>
          <w:sz w:val="24"/>
        </w:rPr>
        <w:t xml:space="preserve"> (1991) 704 – 706.</w:t>
      </w:r>
    </w:p>
    <w:p w14:paraId="45A65AF8" w14:textId="77777777" w:rsidR="00194B8A" w:rsidRDefault="00194B8A" w:rsidP="00FE0E07">
      <w:pPr>
        <w:pStyle w:val="OCJENSKIRADOVIReferencija"/>
        <w:jc w:val="both"/>
        <w:rPr>
          <w:sz w:val="24"/>
        </w:rPr>
      </w:pPr>
      <w:r>
        <w:rPr>
          <w:sz w:val="24"/>
        </w:rPr>
        <w:t>R. Vassar, P-H Kuhn</w:t>
      </w:r>
      <w:r w:rsidR="006D0B9A">
        <w:rPr>
          <w:sz w:val="24"/>
        </w:rPr>
        <w:t xml:space="preserve">, C. Haass, M. E. Kennedy, L. Rajendran, P. C. Wong, S. F. Lichtenthaler, J. Neurochem. </w:t>
      </w:r>
      <w:r w:rsidR="006D0B9A">
        <w:rPr>
          <w:b/>
          <w:sz w:val="24"/>
        </w:rPr>
        <w:t xml:space="preserve">130 </w:t>
      </w:r>
      <w:r w:rsidR="006D0B9A">
        <w:rPr>
          <w:sz w:val="24"/>
        </w:rPr>
        <w:t>(2014) 4 – 28.</w:t>
      </w:r>
    </w:p>
    <w:p w14:paraId="19FCC885" w14:textId="77777777" w:rsidR="006D0B9A" w:rsidRPr="00E44DBC" w:rsidRDefault="006D0B9A" w:rsidP="006D0B9A">
      <w:pPr>
        <w:pStyle w:val="OCJENSKIRADOVIReferencija"/>
        <w:jc w:val="both"/>
        <w:rPr>
          <w:sz w:val="24"/>
        </w:rPr>
      </w:pPr>
      <w:r w:rsidRPr="00E44DBC">
        <w:rPr>
          <w:sz w:val="24"/>
        </w:rPr>
        <w:lastRenderedPageBreak/>
        <w:t>J</w:t>
      </w:r>
      <w:r>
        <w:rPr>
          <w:sz w:val="24"/>
        </w:rPr>
        <w:t>.</w:t>
      </w:r>
      <w:r w:rsidRPr="00E44DBC">
        <w:rPr>
          <w:sz w:val="24"/>
        </w:rPr>
        <w:t xml:space="preserve"> Walter, R</w:t>
      </w:r>
      <w:r>
        <w:rPr>
          <w:sz w:val="24"/>
        </w:rPr>
        <w:t>.</w:t>
      </w:r>
      <w:r w:rsidRPr="00E44DBC">
        <w:rPr>
          <w:sz w:val="24"/>
        </w:rPr>
        <w:t xml:space="preserve"> Fluhrer, B</w:t>
      </w:r>
      <w:r>
        <w:rPr>
          <w:sz w:val="24"/>
        </w:rPr>
        <w:t>.</w:t>
      </w:r>
      <w:r w:rsidRPr="00E44DBC">
        <w:rPr>
          <w:sz w:val="24"/>
        </w:rPr>
        <w:t xml:space="preserve"> Hartung, M</w:t>
      </w:r>
      <w:r>
        <w:rPr>
          <w:sz w:val="24"/>
        </w:rPr>
        <w:t>.</w:t>
      </w:r>
      <w:r w:rsidRPr="00E44DBC">
        <w:rPr>
          <w:sz w:val="24"/>
        </w:rPr>
        <w:t xml:space="preserve"> Willem, C</w:t>
      </w:r>
      <w:r>
        <w:rPr>
          <w:sz w:val="24"/>
        </w:rPr>
        <w:t>.</w:t>
      </w:r>
      <w:r w:rsidRPr="00E44DBC">
        <w:rPr>
          <w:sz w:val="24"/>
        </w:rPr>
        <w:t xml:space="preserve"> Kaether, A</w:t>
      </w:r>
      <w:r>
        <w:rPr>
          <w:sz w:val="24"/>
        </w:rPr>
        <w:t>.</w:t>
      </w:r>
      <w:r w:rsidRPr="00E44DBC">
        <w:rPr>
          <w:sz w:val="24"/>
        </w:rPr>
        <w:t xml:space="preserve"> Capell, S</w:t>
      </w:r>
      <w:r>
        <w:rPr>
          <w:sz w:val="24"/>
        </w:rPr>
        <w:t>.</w:t>
      </w:r>
      <w:r w:rsidRPr="00E44DBC">
        <w:rPr>
          <w:sz w:val="24"/>
        </w:rPr>
        <w:t xml:space="preserve"> Lammich, G</w:t>
      </w:r>
      <w:r>
        <w:rPr>
          <w:sz w:val="24"/>
        </w:rPr>
        <w:t>.</w:t>
      </w:r>
      <w:r w:rsidRPr="00E44DBC">
        <w:rPr>
          <w:sz w:val="24"/>
        </w:rPr>
        <w:t xml:space="preserve"> Multhaup,</w:t>
      </w:r>
      <w:r>
        <w:rPr>
          <w:sz w:val="24"/>
        </w:rPr>
        <w:t xml:space="preserve"> </w:t>
      </w:r>
      <w:r w:rsidRPr="00E44DBC">
        <w:rPr>
          <w:sz w:val="24"/>
        </w:rPr>
        <w:t>C</w:t>
      </w:r>
      <w:r>
        <w:rPr>
          <w:sz w:val="24"/>
        </w:rPr>
        <w:t>.</w:t>
      </w:r>
      <w:r w:rsidRPr="00E44DBC">
        <w:rPr>
          <w:sz w:val="24"/>
        </w:rPr>
        <w:t xml:space="preserve"> Haass</w:t>
      </w:r>
      <w:r>
        <w:rPr>
          <w:sz w:val="24"/>
        </w:rPr>
        <w:t xml:space="preserve">, </w:t>
      </w:r>
      <w:r w:rsidRPr="003C7017">
        <w:rPr>
          <w:bCs/>
          <w:i/>
          <w:sz w:val="24"/>
          <w:lang w:val="en-US"/>
        </w:rPr>
        <w:t>J</w:t>
      </w:r>
      <w:r w:rsidRPr="003C7017">
        <w:rPr>
          <w:i/>
          <w:sz w:val="24"/>
          <w:lang w:val="en-US"/>
        </w:rPr>
        <w:t>. Biol. Chem.</w:t>
      </w:r>
      <w:r>
        <w:rPr>
          <w:i/>
          <w:sz w:val="24"/>
          <w:lang w:val="en-US"/>
        </w:rPr>
        <w:t xml:space="preserve"> </w:t>
      </w:r>
      <w:r>
        <w:rPr>
          <w:b/>
          <w:sz w:val="24"/>
          <w:lang w:val="en-US"/>
        </w:rPr>
        <w:t>276</w:t>
      </w:r>
      <w:r>
        <w:rPr>
          <w:sz w:val="24"/>
          <w:lang w:val="en-US"/>
        </w:rPr>
        <w:t xml:space="preserve"> (2001) 14634 – 14641.</w:t>
      </w:r>
    </w:p>
    <w:p w14:paraId="11A5436D" w14:textId="77777777" w:rsidR="006D0B9A" w:rsidRDefault="006D0B9A" w:rsidP="00FE0E07">
      <w:pPr>
        <w:pStyle w:val="OCJENSKIRADOVIReferencija"/>
        <w:jc w:val="both"/>
        <w:rPr>
          <w:sz w:val="24"/>
        </w:rPr>
      </w:pPr>
      <w:r>
        <w:rPr>
          <w:sz w:val="24"/>
        </w:rPr>
        <w:t xml:space="preserve">E. L. Kang, B. Biscaro, F. Piazza, G. Tesco, </w:t>
      </w:r>
      <w:r w:rsidRPr="006D0B9A">
        <w:rPr>
          <w:i/>
          <w:sz w:val="24"/>
        </w:rPr>
        <w:t>J. Biol. Chem.</w:t>
      </w:r>
      <w:r>
        <w:rPr>
          <w:sz w:val="24"/>
        </w:rPr>
        <w:t xml:space="preserve"> </w:t>
      </w:r>
      <w:r w:rsidRPr="006D0B9A">
        <w:rPr>
          <w:b/>
          <w:sz w:val="24"/>
        </w:rPr>
        <w:t>287</w:t>
      </w:r>
      <w:r>
        <w:rPr>
          <w:sz w:val="24"/>
        </w:rPr>
        <w:t xml:space="preserve"> (2012) 42867 – 42880. </w:t>
      </w:r>
    </w:p>
    <w:p w14:paraId="0C186D6A" w14:textId="77777777" w:rsidR="006D0B9A" w:rsidRPr="009E632D" w:rsidRDefault="006D0B9A" w:rsidP="006D0B9A">
      <w:pPr>
        <w:pStyle w:val="OCJENSKIRADOVIReferencija"/>
        <w:jc w:val="both"/>
        <w:rPr>
          <w:i/>
          <w:sz w:val="24"/>
        </w:rPr>
      </w:pPr>
      <w:bookmarkStart w:id="47" w:name="_Hlk112334451"/>
      <w:r w:rsidRPr="00E44DBC">
        <w:rPr>
          <w:sz w:val="24"/>
        </w:rPr>
        <w:t>M</w:t>
      </w:r>
      <w:r>
        <w:rPr>
          <w:sz w:val="24"/>
        </w:rPr>
        <w:t xml:space="preserve">. </w:t>
      </w:r>
      <w:r w:rsidRPr="00E44DBC">
        <w:rPr>
          <w:sz w:val="24"/>
        </w:rPr>
        <w:t>S</w:t>
      </w:r>
      <w:r>
        <w:rPr>
          <w:sz w:val="24"/>
        </w:rPr>
        <w:t>imons</w:t>
      </w:r>
      <w:r w:rsidRPr="00E44DBC">
        <w:rPr>
          <w:sz w:val="24"/>
        </w:rPr>
        <w:t>,</w:t>
      </w:r>
      <w:r>
        <w:rPr>
          <w:sz w:val="24"/>
        </w:rPr>
        <w:t xml:space="preserve"> </w:t>
      </w:r>
      <w:r w:rsidRPr="00E44DBC">
        <w:rPr>
          <w:sz w:val="24"/>
        </w:rPr>
        <w:t>P</w:t>
      </w:r>
      <w:r>
        <w:rPr>
          <w:sz w:val="24"/>
        </w:rPr>
        <w:t>.</w:t>
      </w:r>
      <w:r w:rsidRPr="00E44DBC">
        <w:rPr>
          <w:sz w:val="24"/>
        </w:rPr>
        <w:t xml:space="preserve"> K</w:t>
      </w:r>
      <w:r>
        <w:rPr>
          <w:sz w:val="24"/>
        </w:rPr>
        <w:t>eller</w:t>
      </w:r>
      <w:r w:rsidRPr="00E44DBC">
        <w:rPr>
          <w:sz w:val="24"/>
        </w:rPr>
        <w:t>, B</w:t>
      </w:r>
      <w:r>
        <w:rPr>
          <w:sz w:val="24"/>
        </w:rPr>
        <w:t>.</w:t>
      </w:r>
      <w:r w:rsidRPr="00E44DBC">
        <w:rPr>
          <w:sz w:val="24"/>
        </w:rPr>
        <w:t xml:space="preserve"> D</w:t>
      </w:r>
      <w:r>
        <w:rPr>
          <w:sz w:val="24"/>
        </w:rPr>
        <w:t>e</w:t>
      </w:r>
      <w:r w:rsidRPr="00E44DBC">
        <w:rPr>
          <w:sz w:val="24"/>
        </w:rPr>
        <w:t xml:space="preserve"> S</w:t>
      </w:r>
      <w:r>
        <w:rPr>
          <w:sz w:val="24"/>
        </w:rPr>
        <w:t>trooper</w:t>
      </w:r>
      <w:r w:rsidRPr="00E44DBC">
        <w:rPr>
          <w:sz w:val="24"/>
        </w:rPr>
        <w:t>, K</w:t>
      </w:r>
      <w:r>
        <w:rPr>
          <w:sz w:val="24"/>
        </w:rPr>
        <w:t>.</w:t>
      </w:r>
      <w:r w:rsidRPr="00E44DBC">
        <w:rPr>
          <w:sz w:val="24"/>
        </w:rPr>
        <w:t xml:space="preserve"> B</w:t>
      </w:r>
      <w:r>
        <w:rPr>
          <w:sz w:val="24"/>
        </w:rPr>
        <w:t>eyreuther</w:t>
      </w:r>
      <w:r w:rsidRPr="00E44DBC">
        <w:rPr>
          <w:sz w:val="24"/>
        </w:rPr>
        <w:t>, C</w:t>
      </w:r>
      <w:r>
        <w:rPr>
          <w:sz w:val="24"/>
        </w:rPr>
        <w:t>.</w:t>
      </w:r>
      <w:r w:rsidRPr="00E44DBC">
        <w:rPr>
          <w:sz w:val="24"/>
        </w:rPr>
        <w:t xml:space="preserve"> G. D</w:t>
      </w:r>
      <w:r>
        <w:rPr>
          <w:sz w:val="24"/>
        </w:rPr>
        <w:t>otti</w:t>
      </w:r>
      <w:r w:rsidRPr="00E44DBC">
        <w:rPr>
          <w:sz w:val="24"/>
        </w:rPr>
        <w:t>,</w:t>
      </w:r>
      <w:r>
        <w:rPr>
          <w:sz w:val="24"/>
        </w:rPr>
        <w:t xml:space="preserve"> </w:t>
      </w:r>
      <w:r w:rsidRPr="00E44DBC">
        <w:rPr>
          <w:sz w:val="24"/>
        </w:rPr>
        <w:t>K</w:t>
      </w:r>
      <w:r>
        <w:rPr>
          <w:sz w:val="24"/>
        </w:rPr>
        <w:t>.</w:t>
      </w:r>
      <w:r w:rsidRPr="00E44DBC">
        <w:rPr>
          <w:sz w:val="24"/>
        </w:rPr>
        <w:t xml:space="preserve"> </w:t>
      </w:r>
      <w:r>
        <w:rPr>
          <w:sz w:val="24"/>
        </w:rPr>
        <w:t xml:space="preserve">Simons, </w:t>
      </w:r>
      <w:r w:rsidRPr="009E632D">
        <w:rPr>
          <w:i/>
        </w:rPr>
        <w:t>Proc. Natl. Acad. Sci. USA</w:t>
      </w:r>
      <w:r>
        <w:rPr>
          <w:i/>
        </w:rPr>
        <w:t xml:space="preserve"> </w:t>
      </w:r>
      <w:r>
        <w:rPr>
          <w:b/>
        </w:rPr>
        <w:t>95</w:t>
      </w:r>
      <w:r>
        <w:t xml:space="preserve"> (1998) 6460 – 6464.</w:t>
      </w:r>
    </w:p>
    <w:p w14:paraId="202A338E" w14:textId="77777777" w:rsidR="006D0B9A" w:rsidRPr="0036397F" w:rsidRDefault="006D0B9A" w:rsidP="006D0B9A">
      <w:pPr>
        <w:pStyle w:val="OCJENSKIRADOVIReferencija"/>
        <w:jc w:val="both"/>
        <w:rPr>
          <w:i/>
          <w:sz w:val="24"/>
        </w:rPr>
      </w:pPr>
      <w:bookmarkStart w:id="48" w:name="_Hlk112338985"/>
      <w:bookmarkEnd w:id="47"/>
      <w:r w:rsidRPr="00E44DBC">
        <w:rPr>
          <w:sz w:val="24"/>
        </w:rPr>
        <w:t>R</w:t>
      </w:r>
      <w:r>
        <w:rPr>
          <w:sz w:val="24"/>
        </w:rPr>
        <w:t>.</w:t>
      </w:r>
      <w:r w:rsidRPr="00E44DBC">
        <w:rPr>
          <w:sz w:val="24"/>
        </w:rPr>
        <w:t xml:space="preserve"> Ehehalt</w:t>
      </w:r>
      <w:r>
        <w:rPr>
          <w:sz w:val="24"/>
        </w:rPr>
        <w:t>,</w:t>
      </w:r>
      <w:r w:rsidRPr="00E44DBC">
        <w:rPr>
          <w:sz w:val="24"/>
        </w:rPr>
        <w:t xml:space="preserve"> P</w:t>
      </w:r>
      <w:r>
        <w:rPr>
          <w:sz w:val="24"/>
        </w:rPr>
        <w:t>.</w:t>
      </w:r>
      <w:r w:rsidRPr="00E44DBC">
        <w:rPr>
          <w:sz w:val="24"/>
        </w:rPr>
        <w:t xml:space="preserve"> Keller, C</w:t>
      </w:r>
      <w:r>
        <w:rPr>
          <w:sz w:val="24"/>
        </w:rPr>
        <w:t>.</w:t>
      </w:r>
      <w:r w:rsidRPr="00E44DBC">
        <w:rPr>
          <w:sz w:val="24"/>
        </w:rPr>
        <w:t xml:space="preserve"> Haass, C</w:t>
      </w:r>
      <w:r>
        <w:rPr>
          <w:sz w:val="24"/>
        </w:rPr>
        <w:t>.</w:t>
      </w:r>
      <w:r w:rsidRPr="00E44DBC">
        <w:rPr>
          <w:sz w:val="24"/>
        </w:rPr>
        <w:t xml:space="preserve"> Thiele, K</w:t>
      </w:r>
      <w:r>
        <w:rPr>
          <w:sz w:val="24"/>
        </w:rPr>
        <w:t>.</w:t>
      </w:r>
      <w:r w:rsidRPr="00E44DBC">
        <w:rPr>
          <w:sz w:val="24"/>
        </w:rPr>
        <w:t xml:space="preserve"> Simons</w:t>
      </w:r>
      <w:r>
        <w:rPr>
          <w:sz w:val="24"/>
        </w:rPr>
        <w:t xml:space="preserve">, </w:t>
      </w:r>
      <w:r w:rsidRPr="0036397F">
        <w:rPr>
          <w:i/>
          <w:sz w:val="24"/>
          <w:lang w:val="en-US"/>
        </w:rPr>
        <w:t>J. Cell Biol.</w:t>
      </w:r>
      <w:r>
        <w:rPr>
          <w:i/>
          <w:sz w:val="24"/>
          <w:lang w:val="en-US"/>
        </w:rPr>
        <w:t xml:space="preserve"> </w:t>
      </w:r>
      <w:r>
        <w:rPr>
          <w:b/>
          <w:sz w:val="24"/>
          <w:lang w:val="en-US"/>
        </w:rPr>
        <w:t xml:space="preserve">160 </w:t>
      </w:r>
      <w:r>
        <w:rPr>
          <w:sz w:val="24"/>
          <w:lang w:val="en-US"/>
        </w:rPr>
        <w:t>(2003) 113 – 123</w:t>
      </w:r>
      <w:bookmarkEnd w:id="48"/>
      <w:r>
        <w:rPr>
          <w:sz w:val="24"/>
          <w:lang w:val="en-US"/>
        </w:rPr>
        <w:t>.</w:t>
      </w:r>
    </w:p>
    <w:p w14:paraId="0E08A355" w14:textId="77777777" w:rsidR="006D0B9A" w:rsidRPr="00E44DBC" w:rsidRDefault="006D0B9A" w:rsidP="006D0B9A">
      <w:pPr>
        <w:pStyle w:val="OCJENSKIRADOVIReferencija"/>
        <w:jc w:val="both"/>
        <w:rPr>
          <w:sz w:val="24"/>
        </w:rPr>
      </w:pPr>
      <w:r w:rsidRPr="00E44DBC">
        <w:rPr>
          <w:sz w:val="24"/>
        </w:rPr>
        <w:t>C</w:t>
      </w:r>
      <w:r>
        <w:rPr>
          <w:sz w:val="24"/>
        </w:rPr>
        <w:t>.</w:t>
      </w:r>
      <w:r w:rsidRPr="00E44DBC">
        <w:rPr>
          <w:sz w:val="24"/>
        </w:rPr>
        <w:t xml:space="preserve"> Hattori, M</w:t>
      </w:r>
      <w:r>
        <w:rPr>
          <w:sz w:val="24"/>
        </w:rPr>
        <w:t>.</w:t>
      </w:r>
      <w:r w:rsidRPr="00E44DBC">
        <w:rPr>
          <w:sz w:val="24"/>
        </w:rPr>
        <w:t xml:space="preserve"> Asai, H</w:t>
      </w:r>
      <w:r>
        <w:rPr>
          <w:sz w:val="24"/>
        </w:rPr>
        <w:t>.</w:t>
      </w:r>
      <w:r w:rsidRPr="00E44DBC">
        <w:rPr>
          <w:sz w:val="24"/>
        </w:rPr>
        <w:t xml:space="preserve"> Onishi, N</w:t>
      </w:r>
      <w:r>
        <w:rPr>
          <w:sz w:val="24"/>
        </w:rPr>
        <w:t>.</w:t>
      </w:r>
      <w:r w:rsidRPr="00E44DBC">
        <w:rPr>
          <w:sz w:val="24"/>
        </w:rPr>
        <w:t xml:space="preserve"> Sasagawa, Y</w:t>
      </w:r>
      <w:r>
        <w:rPr>
          <w:sz w:val="24"/>
        </w:rPr>
        <w:t>.</w:t>
      </w:r>
      <w:r w:rsidRPr="00E44DBC">
        <w:rPr>
          <w:sz w:val="24"/>
        </w:rPr>
        <w:t xml:space="preserve"> Hashimoto, T</w:t>
      </w:r>
      <w:r>
        <w:rPr>
          <w:sz w:val="24"/>
        </w:rPr>
        <w:t>.</w:t>
      </w:r>
      <w:r w:rsidRPr="00E44DBC">
        <w:rPr>
          <w:sz w:val="24"/>
        </w:rPr>
        <w:t xml:space="preserve"> C. Saido, K</w:t>
      </w:r>
      <w:r>
        <w:rPr>
          <w:sz w:val="24"/>
        </w:rPr>
        <w:t>.</w:t>
      </w:r>
      <w:r w:rsidRPr="00E44DBC">
        <w:rPr>
          <w:sz w:val="24"/>
        </w:rPr>
        <w:t xml:space="preserve"> Maruyama, S</w:t>
      </w:r>
      <w:r>
        <w:rPr>
          <w:sz w:val="24"/>
        </w:rPr>
        <w:t>.</w:t>
      </w:r>
      <w:r w:rsidRPr="00E44DBC">
        <w:rPr>
          <w:sz w:val="24"/>
        </w:rPr>
        <w:t xml:space="preserve"> Mizutani, S</w:t>
      </w:r>
      <w:r>
        <w:rPr>
          <w:sz w:val="24"/>
        </w:rPr>
        <w:t>.</w:t>
      </w:r>
      <w:r w:rsidRPr="00E44DBC">
        <w:rPr>
          <w:sz w:val="24"/>
        </w:rPr>
        <w:t xml:space="preserve"> Ishiura</w:t>
      </w:r>
      <w:r>
        <w:rPr>
          <w:sz w:val="24"/>
        </w:rPr>
        <w:t xml:space="preserve">, </w:t>
      </w:r>
      <w:r w:rsidRPr="00EA3D3F">
        <w:rPr>
          <w:i/>
          <w:sz w:val="24"/>
          <w:lang w:val="en-US"/>
        </w:rPr>
        <w:t>J. Neurosci. Res.</w:t>
      </w:r>
      <w:r>
        <w:rPr>
          <w:i/>
          <w:sz w:val="24"/>
          <w:lang w:val="en-US"/>
        </w:rPr>
        <w:t xml:space="preserve"> </w:t>
      </w:r>
      <w:r>
        <w:rPr>
          <w:b/>
          <w:sz w:val="24"/>
          <w:lang w:val="en-US"/>
        </w:rPr>
        <w:t>84</w:t>
      </w:r>
      <w:r>
        <w:rPr>
          <w:sz w:val="24"/>
          <w:lang w:val="en-US"/>
        </w:rPr>
        <w:t xml:space="preserve"> (2006) 912 – 917.</w:t>
      </w:r>
    </w:p>
    <w:p w14:paraId="7C6EB80F" w14:textId="77777777" w:rsidR="00B67E54" w:rsidRPr="00E44DBC" w:rsidRDefault="00B67E54" w:rsidP="00B67E54">
      <w:pPr>
        <w:pStyle w:val="OCJENSKIRADOVIReferencija"/>
        <w:jc w:val="both"/>
        <w:rPr>
          <w:sz w:val="24"/>
        </w:rPr>
      </w:pPr>
      <w:r w:rsidRPr="00E44DBC">
        <w:rPr>
          <w:sz w:val="24"/>
        </w:rPr>
        <w:t>K</w:t>
      </w:r>
      <w:r>
        <w:rPr>
          <w:sz w:val="24"/>
        </w:rPr>
        <w:t>.</w:t>
      </w:r>
      <w:r w:rsidRPr="00E44DBC">
        <w:rPr>
          <w:sz w:val="24"/>
        </w:rPr>
        <w:t xml:space="preserve"> S. Murayama, F</w:t>
      </w:r>
      <w:r>
        <w:rPr>
          <w:sz w:val="24"/>
        </w:rPr>
        <w:t>.</w:t>
      </w:r>
      <w:r w:rsidRPr="00E44DBC">
        <w:rPr>
          <w:sz w:val="24"/>
        </w:rPr>
        <w:t xml:space="preserve"> Kametani, S</w:t>
      </w:r>
      <w:r>
        <w:rPr>
          <w:sz w:val="24"/>
        </w:rPr>
        <w:t>.</w:t>
      </w:r>
      <w:r w:rsidRPr="00E44DBC">
        <w:rPr>
          <w:sz w:val="24"/>
        </w:rPr>
        <w:t xml:space="preserve"> Saito, H</w:t>
      </w:r>
      <w:r>
        <w:rPr>
          <w:sz w:val="24"/>
        </w:rPr>
        <w:t>.</w:t>
      </w:r>
      <w:r w:rsidRPr="00E44DBC">
        <w:rPr>
          <w:sz w:val="24"/>
        </w:rPr>
        <w:t xml:space="preserve"> Kume, H</w:t>
      </w:r>
      <w:r>
        <w:rPr>
          <w:sz w:val="24"/>
        </w:rPr>
        <w:t>.</w:t>
      </w:r>
      <w:r w:rsidRPr="00E44DBC">
        <w:rPr>
          <w:sz w:val="24"/>
        </w:rPr>
        <w:t xml:space="preserve"> Akiyama</w:t>
      </w:r>
      <w:r>
        <w:rPr>
          <w:sz w:val="24"/>
        </w:rPr>
        <w:t>,</w:t>
      </w:r>
      <w:r w:rsidRPr="00E44DBC">
        <w:rPr>
          <w:sz w:val="24"/>
        </w:rPr>
        <w:t xml:space="preserve"> W</w:t>
      </w:r>
      <w:r>
        <w:rPr>
          <w:sz w:val="24"/>
        </w:rPr>
        <w:t>.</w:t>
      </w:r>
      <w:r w:rsidRPr="00E44DBC">
        <w:rPr>
          <w:sz w:val="24"/>
        </w:rPr>
        <w:t xml:space="preserve"> Araki</w:t>
      </w:r>
      <w:r>
        <w:rPr>
          <w:sz w:val="24"/>
        </w:rPr>
        <w:t xml:space="preserve">, </w:t>
      </w:r>
      <w:r w:rsidRPr="004F01A7">
        <w:rPr>
          <w:i/>
          <w:sz w:val="24"/>
        </w:rPr>
        <w:t>Eur. J. Neurosci.</w:t>
      </w:r>
      <w:r>
        <w:rPr>
          <w:i/>
          <w:sz w:val="24"/>
        </w:rPr>
        <w:t xml:space="preserve"> </w:t>
      </w:r>
      <w:r>
        <w:rPr>
          <w:b/>
          <w:sz w:val="24"/>
        </w:rPr>
        <w:t>24</w:t>
      </w:r>
      <w:r>
        <w:rPr>
          <w:sz w:val="24"/>
        </w:rPr>
        <w:t xml:space="preserve"> (2006) 1237 – 1244.</w:t>
      </w:r>
    </w:p>
    <w:p w14:paraId="3E9822E4" w14:textId="77777777" w:rsidR="006D0B9A" w:rsidRDefault="008D7582" w:rsidP="00FE0E07">
      <w:pPr>
        <w:pStyle w:val="OCJENSKIRADOVIReferencija"/>
        <w:jc w:val="both"/>
        <w:rPr>
          <w:sz w:val="24"/>
        </w:rPr>
      </w:pPr>
      <w:hyperlink r:id="rId43" w:history="1">
        <w:r w:rsidR="00B67E54" w:rsidRPr="00AC4ED5">
          <w:rPr>
            <w:rStyle w:val="Hyperlink"/>
            <w:sz w:val="24"/>
            <w:szCs w:val="22"/>
          </w:rPr>
          <w:t>uniprot.org/uniprot/Q9NQC3</w:t>
        </w:r>
      </w:hyperlink>
      <w:r w:rsidR="00B67E54">
        <w:rPr>
          <w:sz w:val="24"/>
        </w:rPr>
        <w:t xml:space="preserve"> (datum pristupa: 11.4.2022.)</w:t>
      </w:r>
    </w:p>
    <w:p w14:paraId="6D7F6003" w14:textId="77777777" w:rsidR="00B67E54" w:rsidRDefault="00B67E54" w:rsidP="00FE0E07">
      <w:pPr>
        <w:pStyle w:val="OCJENSKIRADOVIReferencija"/>
        <w:jc w:val="both"/>
        <w:rPr>
          <w:sz w:val="24"/>
        </w:rPr>
      </w:pPr>
      <w:r>
        <w:rPr>
          <w:sz w:val="24"/>
        </w:rPr>
        <w:t xml:space="preserve">E. L. Kang, A. N. Cameron, F. Piazza, K. R. Walker, G. Tesco, J. Biol. Chem. </w:t>
      </w:r>
      <w:r w:rsidRPr="00B67E54">
        <w:rPr>
          <w:b/>
          <w:sz w:val="24"/>
        </w:rPr>
        <w:t>285</w:t>
      </w:r>
      <w:r>
        <w:rPr>
          <w:sz w:val="24"/>
        </w:rPr>
        <w:t xml:space="preserve"> (2010) 24108 – 24119.</w:t>
      </w:r>
    </w:p>
    <w:p w14:paraId="4A935577" w14:textId="77777777" w:rsidR="00B67E54" w:rsidRPr="00E44DBC" w:rsidRDefault="00B67E54" w:rsidP="00B67E54">
      <w:pPr>
        <w:pStyle w:val="OCJENSKIRADOVIReferencija"/>
        <w:jc w:val="both"/>
        <w:rPr>
          <w:sz w:val="24"/>
        </w:rPr>
      </w:pPr>
      <w:r w:rsidRPr="00E44DBC">
        <w:rPr>
          <w:sz w:val="24"/>
        </w:rPr>
        <w:t>L</w:t>
      </w:r>
      <w:r>
        <w:rPr>
          <w:sz w:val="24"/>
        </w:rPr>
        <w:t xml:space="preserve">. </w:t>
      </w:r>
      <w:r w:rsidRPr="00E44DBC">
        <w:rPr>
          <w:sz w:val="24"/>
        </w:rPr>
        <w:t>Hong,</w:t>
      </w:r>
      <w:r>
        <w:rPr>
          <w:sz w:val="24"/>
        </w:rPr>
        <w:t xml:space="preserve"> </w:t>
      </w:r>
      <w:r w:rsidRPr="00E44DBC">
        <w:rPr>
          <w:sz w:val="24"/>
        </w:rPr>
        <w:t>G</w:t>
      </w:r>
      <w:r>
        <w:rPr>
          <w:sz w:val="24"/>
        </w:rPr>
        <w:t>.</w:t>
      </w:r>
      <w:r w:rsidRPr="00E44DBC">
        <w:rPr>
          <w:sz w:val="24"/>
        </w:rPr>
        <w:t xml:space="preserve"> Koelsch, X</w:t>
      </w:r>
      <w:r>
        <w:rPr>
          <w:sz w:val="24"/>
        </w:rPr>
        <w:t>.</w:t>
      </w:r>
      <w:r w:rsidRPr="00E44DBC">
        <w:rPr>
          <w:sz w:val="24"/>
        </w:rPr>
        <w:t xml:space="preserve"> Lin, S</w:t>
      </w:r>
      <w:r>
        <w:rPr>
          <w:sz w:val="24"/>
        </w:rPr>
        <w:t>.</w:t>
      </w:r>
      <w:r w:rsidRPr="00E44DBC">
        <w:rPr>
          <w:sz w:val="24"/>
        </w:rPr>
        <w:t xml:space="preserve"> W</w:t>
      </w:r>
      <w:r>
        <w:rPr>
          <w:sz w:val="24"/>
        </w:rPr>
        <w:t>u</w:t>
      </w:r>
      <w:r w:rsidRPr="00E44DBC">
        <w:rPr>
          <w:sz w:val="24"/>
        </w:rPr>
        <w:t>, S</w:t>
      </w:r>
      <w:r>
        <w:rPr>
          <w:sz w:val="24"/>
        </w:rPr>
        <w:t>.</w:t>
      </w:r>
      <w:r w:rsidRPr="00E44DBC">
        <w:rPr>
          <w:sz w:val="24"/>
        </w:rPr>
        <w:t xml:space="preserve"> Terzyan, Arun K. </w:t>
      </w:r>
      <w:r>
        <w:rPr>
          <w:sz w:val="24"/>
        </w:rPr>
        <w:t>Ghosh</w:t>
      </w:r>
      <w:r w:rsidRPr="00E44DBC">
        <w:rPr>
          <w:sz w:val="24"/>
        </w:rPr>
        <w:t>,</w:t>
      </w:r>
      <w:r>
        <w:rPr>
          <w:sz w:val="24"/>
        </w:rPr>
        <w:t xml:space="preserve"> </w:t>
      </w:r>
      <w:r w:rsidRPr="00E44DBC">
        <w:rPr>
          <w:sz w:val="24"/>
        </w:rPr>
        <w:t>X</w:t>
      </w:r>
      <w:r>
        <w:rPr>
          <w:sz w:val="24"/>
        </w:rPr>
        <w:t>.</w:t>
      </w:r>
      <w:r w:rsidRPr="00E44DBC">
        <w:rPr>
          <w:sz w:val="24"/>
        </w:rPr>
        <w:t xml:space="preserve"> C. Zhang, J</w:t>
      </w:r>
      <w:r>
        <w:rPr>
          <w:sz w:val="24"/>
        </w:rPr>
        <w:t>.</w:t>
      </w:r>
      <w:r w:rsidRPr="00E44DBC">
        <w:rPr>
          <w:sz w:val="24"/>
        </w:rPr>
        <w:t xml:space="preserve"> Tang</w:t>
      </w:r>
      <w:r>
        <w:rPr>
          <w:sz w:val="24"/>
        </w:rPr>
        <w:t xml:space="preserve">, </w:t>
      </w:r>
      <w:r>
        <w:rPr>
          <w:i/>
          <w:sz w:val="24"/>
        </w:rPr>
        <w:t xml:space="preserve">Science. </w:t>
      </w:r>
      <w:r>
        <w:rPr>
          <w:b/>
          <w:sz w:val="24"/>
        </w:rPr>
        <w:t>290</w:t>
      </w:r>
      <w:r>
        <w:rPr>
          <w:sz w:val="24"/>
        </w:rPr>
        <w:t xml:space="preserve"> (2000) 150 – 153.</w:t>
      </w:r>
    </w:p>
    <w:p w14:paraId="1142922C" w14:textId="77777777" w:rsidR="00B67E54" w:rsidRPr="00E44DBC" w:rsidRDefault="00B67E54" w:rsidP="00B67E54">
      <w:pPr>
        <w:pStyle w:val="OCJENSKIRADOVIReferencija"/>
        <w:jc w:val="both"/>
        <w:rPr>
          <w:sz w:val="24"/>
        </w:rPr>
      </w:pPr>
      <w:r w:rsidRPr="00E44DBC">
        <w:rPr>
          <w:sz w:val="24"/>
        </w:rPr>
        <w:t>L</w:t>
      </w:r>
      <w:r>
        <w:rPr>
          <w:sz w:val="24"/>
        </w:rPr>
        <w:t>.</w:t>
      </w:r>
      <w:r w:rsidRPr="00E44DBC">
        <w:rPr>
          <w:sz w:val="24"/>
        </w:rPr>
        <w:t xml:space="preserve"> Hong, R</w:t>
      </w:r>
      <w:r>
        <w:rPr>
          <w:sz w:val="24"/>
        </w:rPr>
        <w:t>.</w:t>
      </w:r>
      <w:r w:rsidRPr="00E44DBC">
        <w:rPr>
          <w:sz w:val="24"/>
        </w:rPr>
        <w:t xml:space="preserve"> T. Turner, G</w:t>
      </w:r>
      <w:r>
        <w:rPr>
          <w:sz w:val="24"/>
        </w:rPr>
        <w:t>.</w:t>
      </w:r>
      <w:r w:rsidRPr="00E44DBC">
        <w:rPr>
          <w:sz w:val="24"/>
        </w:rPr>
        <w:t xml:space="preserve"> Koelsch, D</w:t>
      </w:r>
      <w:r>
        <w:rPr>
          <w:sz w:val="24"/>
        </w:rPr>
        <w:t>.</w:t>
      </w:r>
      <w:r w:rsidRPr="00E44DBC">
        <w:rPr>
          <w:sz w:val="24"/>
        </w:rPr>
        <w:t xml:space="preserve"> Shin, Arun K. Ghosh, J</w:t>
      </w:r>
      <w:r>
        <w:rPr>
          <w:sz w:val="24"/>
        </w:rPr>
        <w:t>.</w:t>
      </w:r>
      <w:r w:rsidRPr="00E44DBC">
        <w:rPr>
          <w:sz w:val="24"/>
        </w:rPr>
        <w:t xml:space="preserve"> Tang</w:t>
      </w:r>
      <w:r>
        <w:rPr>
          <w:sz w:val="24"/>
        </w:rPr>
        <w:t xml:space="preserve">, </w:t>
      </w:r>
      <w:r>
        <w:rPr>
          <w:i/>
          <w:sz w:val="24"/>
        </w:rPr>
        <w:t xml:space="preserve">Biochemistry. </w:t>
      </w:r>
      <w:r w:rsidRPr="00611693">
        <w:rPr>
          <w:b/>
          <w:sz w:val="24"/>
        </w:rPr>
        <w:t>41</w:t>
      </w:r>
      <w:r>
        <w:rPr>
          <w:b/>
          <w:sz w:val="24"/>
        </w:rPr>
        <w:t xml:space="preserve"> </w:t>
      </w:r>
      <w:r>
        <w:rPr>
          <w:sz w:val="24"/>
        </w:rPr>
        <w:t>(2002) 10963 – 10967.</w:t>
      </w:r>
    </w:p>
    <w:p w14:paraId="41EE5097" w14:textId="77777777" w:rsidR="00B67E54" w:rsidRPr="00E44DBC" w:rsidRDefault="00B67E54" w:rsidP="00B67E54">
      <w:pPr>
        <w:pStyle w:val="OCJENSKIRADOVIReferencija"/>
        <w:jc w:val="both"/>
        <w:rPr>
          <w:sz w:val="24"/>
        </w:rPr>
      </w:pPr>
      <w:r w:rsidRPr="00E44DBC">
        <w:rPr>
          <w:sz w:val="24"/>
        </w:rPr>
        <w:t>R</w:t>
      </w:r>
      <w:r>
        <w:rPr>
          <w:sz w:val="24"/>
        </w:rPr>
        <w:t>.</w:t>
      </w:r>
      <w:r w:rsidRPr="00E44DBC">
        <w:rPr>
          <w:sz w:val="24"/>
        </w:rPr>
        <w:t xml:space="preserve"> T. Turner</w:t>
      </w:r>
      <w:r>
        <w:rPr>
          <w:sz w:val="24"/>
        </w:rPr>
        <w:t xml:space="preserve"> III</w:t>
      </w:r>
      <w:r w:rsidRPr="00E44DBC">
        <w:rPr>
          <w:sz w:val="24"/>
        </w:rPr>
        <w:t>, L</w:t>
      </w:r>
      <w:r>
        <w:rPr>
          <w:sz w:val="24"/>
        </w:rPr>
        <w:t>.</w:t>
      </w:r>
      <w:r w:rsidRPr="00E44DBC">
        <w:rPr>
          <w:sz w:val="24"/>
        </w:rPr>
        <w:t xml:space="preserve"> Hong, G</w:t>
      </w:r>
      <w:r>
        <w:rPr>
          <w:sz w:val="24"/>
        </w:rPr>
        <w:t>.</w:t>
      </w:r>
      <w:r w:rsidRPr="00E44DBC">
        <w:rPr>
          <w:sz w:val="24"/>
        </w:rPr>
        <w:t xml:space="preserve"> Koelsch, A</w:t>
      </w:r>
      <w:r>
        <w:rPr>
          <w:sz w:val="24"/>
        </w:rPr>
        <w:t xml:space="preserve">. </w:t>
      </w:r>
      <w:r w:rsidRPr="00E44DBC">
        <w:rPr>
          <w:sz w:val="24"/>
        </w:rPr>
        <w:t>K. Ghosh, J</w:t>
      </w:r>
      <w:r>
        <w:rPr>
          <w:sz w:val="24"/>
        </w:rPr>
        <w:t>.</w:t>
      </w:r>
      <w:r w:rsidRPr="00E44DBC">
        <w:rPr>
          <w:sz w:val="24"/>
        </w:rPr>
        <w:t xml:space="preserve"> Tang</w:t>
      </w:r>
      <w:r>
        <w:rPr>
          <w:sz w:val="24"/>
        </w:rPr>
        <w:t xml:space="preserve">, </w:t>
      </w:r>
      <w:r>
        <w:rPr>
          <w:i/>
          <w:sz w:val="24"/>
        </w:rPr>
        <w:t>Biochemistry.</w:t>
      </w:r>
      <w:r>
        <w:rPr>
          <w:sz w:val="24"/>
        </w:rPr>
        <w:t xml:space="preserve"> </w:t>
      </w:r>
      <w:r>
        <w:rPr>
          <w:b/>
          <w:sz w:val="24"/>
        </w:rPr>
        <w:t>44</w:t>
      </w:r>
      <w:r>
        <w:rPr>
          <w:sz w:val="24"/>
        </w:rPr>
        <w:t xml:space="preserve"> (2005) 105 – 112.</w:t>
      </w:r>
    </w:p>
    <w:p w14:paraId="6E9689F1" w14:textId="1A4934B3" w:rsidR="00B67E54" w:rsidRDefault="00B67E54" w:rsidP="00B67E54">
      <w:pPr>
        <w:pStyle w:val="OCJENSKIRADOVIReferencija"/>
        <w:jc w:val="both"/>
        <w:rPr>
          <w:sz w:val="24"/>
        </w:rPr>
      </w:pPr>
      <w:r w:rsidRPr="00E44DBC">
        <w:rPr>
          <w:sz w:val="24"/>
        </w:rPr>
        <w:t>S</w:t>
      </w:r>
      <w:r>
        <w:rPr>
          <w:sz w:val="24"/>
        </w:rPr>
        <w:t>.</w:t>
      </w:r>
      <w:r w:rsidRPr="00E44DBC">
        <w:rPr>
          <w:sz w:val="24"/>
        </w:rPr>
        <w:t xml:space="preserve"> Mishra</w:t>
      </w:r>
      <w:r>
        <w:rPr>
          <w:sz w:val="24"/>
        </w:rPr>
        <w:t xml:space="preserve">, </w:t>
      </w:r>
      <w:r w:rsidRPr="00E44DBC">
        <w:rPr>
          <w:sz w:val="24"/>
        </w:rPr>
        <w:t>A</w:t>
      </w:r>
      <w:r>
        <w:rPr>
          <w:sz w:val="24"/>
        </w:rPr>
        <w:t>.</w:t>
      </w:r>
      <w:r w:rsidRPr="00E44DBC">
        <w:rPr>
          <w:sz w:val="24"/>
        </w:rPr>
        <w:t xml:space="preserve"> Caflisch</w:t>
      </w:r>
      <w:r>
        <w:rPr>
          <w:sz w:val="24"/>
        </w:rPr>
        <w:t xml:space="preserve">, </w:t>
      </w:r>
      <w:r>
        <w:rPr>
          <w:i/>
          <w:sz w:val="24"/>
        </w:rPr>
        <w:t xml:space="preserve">Biochemistry. </w:t>
      </w:r>
      <w:r>
        <w:rPr>
          <w:b/>
          <w:sz w:val="24"/>
        </w:rPr>
        <w:t xml:space="preserve">50 </w:t>
      </w:r>
      <w:r>
        <w:rPr>
          <w:sz w:val="24"/>
        </w:rPr>
        <w:t xml:space="preserve">(2011) 9328 – 9339. </w:t>
      </w:r>
    </w:p>
    <w:p w14:paraId="057765A3" w14:textId="61D74D83" w:rsidR="001242D0" w:rsidRDefault="001242D0" w:rsidP="00B67E54">
      <w:pPr>
        <w:pStyle w:val="OCJENSKIRADOVIReferencija"/>
        <w:jc w:val="both"/>
        <w:rPr>
          <w:sz w:val="24"/>
        </w:rPr>
      </w:pPr>
      <w:r>
        <w:rPr>
          <w:sz w:val="24"/>
        </w:rPr>
        <w:t xml:space="preserve">P-H Kuhn, E. Marjaux, A. Imhof, B. De Strooper, C. Haass, S. F. Lichtenthaler, </w:t>
      </w:r>
      <w:r w:rsidRPr="00B67E54">
        <w:rPr>
          <w:i/>
          <w:sz w:val="24"/>
        </w:rPr>
        <w:t>J. Biol. Chem.</w:t>
      </w:r>
      <w:r>
        <w:rPr>
          <w:sz w:val="24"/>
        </w:rPr>
        <w:t xml:space="preserve"> </w:t>
      </w:r>
      <w:r w:rsidRPr="00B67E54">
        <w:rPr>
          <w:b/>
          <w:sz w:val="24"/>
        </w:rPr>
        <w:t>282</w:t>
      </w:r>
      <w:r>
        <w:rPr>
          <w:sz w:val="24"/>
        </w:rPr>
        <w:t xml:space="preserve"> (2007) 11982 – 11995.</w:t>
      </w:r>
    </w:p>
    <w:p w14:paraId="16443EB2" w14:textId="77777777" w:rsidR="001242D0" w:rsidRPr="00E44DBC" w:rsidRDefault="001242D0" w:rsidP="001242D0">
      <w:pPr>
        <w:pStyle w:val="OCJENSKIRADOVIReferencija"/>
        <w:jc w:val="both"/>
        <w:rPr>
          <w:sz w:val="24"/>
          <w:szCs w:val="24"/>
        </w:rPr>
      </w:pPr>
      <w:r w:rsidRPr="00E44DBC">
        <w:rPr>
          <w:sz w:val="24"/>
          <w:szCs w:val="24"/>
        </w:rPr>
        <w:t>M</w:t>
      </w:r>
      <w:r>
        <w:rPr>
          <w:sz w:val="24"/>
          <w:szCs w:val="24"/>
        </w:rPr>
        <w:t xml:space="preserve">. </w:t>
      </w:r>
      <w:r w:rsidRPr="00E44DBC">
        <w:rPr>
          <w:sz w:val="24"/>
          <w:szCs w:val="24"/>
        </w:rPr>
        <w:t>V</w:t>
      </w:r>
      <w:r>
        <w:rPr>
          <w:sz w:val="24"/>
          <w:szCs w:val="24"/>
        </w:rPr>
        <w:t>.</w:t>
      </w:r>
      <w:r w:rsidRPr="00E44DBC">
        <w:rPr>
          <w:sz w:val="24"/>
          <w:szCs w:val="24"/>
        </w:rPr>
        <w:t xml:space="preserve"> Ferreira Silva, C</w:t>
      </w:r>
      <w:r>
        <w:rPr>
          <w:sz w:val="24"/>
          <w:szCs w:val="24"/>
        </w:rPr>
        <w:t>.</w:t>
      </w:r>
      <w:r w:rsidRPr="00E44DBC">
        <w:rPr>
          <w:sz w:val="24"/>
          <w:szCs w:val="24"/>
        </w:rPr>
        <w:t xml:space="preserve"> de Mello Gomide Loures, L</w:t>
      </w:r>
      <w:r>
        <w:rPr>
          <w:sz w:val="24"/>
          <w:szCs w:val="24"/>
        </w:rPr>
        <w:t>.</w:t>
      </w:r>
      <w:r w:rsidRPr="00E44DBC">
        <w:rPr>
          <w:sz w:val="24"/>
          <w:szCs w:val="24"/>
        </w:rPr>
        <w:t xml:space="preserve"> C</w:t>
      </w:r>
      <w:r>
        <w:rPr>
          <w:sz w:val="24"/>
          <w:szCs w:val="24"/>
        </w:rPr>
        <w:t>.</w:t>
      </w:r>
      <w:r w:rsidRPr="00E44DBC">
        <w:rPr>
          <w:sz w:val="24"/>
          <w:szCs w:val="24"/>
        </w:rPr>
        <w:t xml:space="preserve"> Vieira Alves, L</w:t>
      </w:r>
      <w:r>
        <w:rPr>
          <w:sz w:val="24"/>
          <w:szCs w:val="24"/>
        </w:rPr>
        <w:t>.</w:t>
      </w:r>
      <w:r w:rsidRPr="00E44DBC">
        <w:rPr>
          <w:sz w:val="24"/>
          <w:szCs w:val="24"/>
        </w:rPr>
        <w:t xml:space="preserve"> Cruz de Souza, K</w:t>
      </w:r>
      <w:r>
        <w:rPr>
          <w:sz w:val="24"/>
          <w:szCs w:val="24"/>
        </w:rPr>
        <w:t>.</w:t>
      </w:r>
      <w:r w:rsidRPr="00E44DBC">
        <w:rPr>
          <w:sz w:val="24"/>
          <w:szCs w:val="24"/>
        </w:rPr>
        <w:t xml:space="preserve"> Braga Gomes Borges</w:t>
      </w:r>
      <w:r>
        <w:rPr>
          <w:sz w:val="24"/>
          <w:szCs w:val="24"/>
        </w:rPr>
        <w:t>,</w:t>
      </w:r>
      <w:r w:rsidRPr="00E44DBC">
        <w:rPr>
          <w:sz w:val="24"/>
          <w:szCs w:val="24"/>
        </w:rPr>
        <w:t xml:space="preserve"> M</w:t>
      </w:r>
      <w:r>
        <w:rPr>
          <w:sz w:val="24"/>
          <w:szCs w:val="24"/>
        </w:rPr>
        <w:t>.</w:t>
      </w:r>
      <w:r w:rsidRPr="00E44DBC">
        <w:rPr>
          <w:sz w:val="24"/>
          <w:szCs w:val="24"/>
        </w:rPr>
        <w:t xml:space="preserve"> das Graças Carvalho</w:t>
      </w:r>
      <w:r>
        <w:rPr>
          <w:sz w:val="24"/>
          <w:szCs w:val="24"/>
        </w:rPr>
        <w:t xml:space="preserve">, </w:t>
      </w:r>
      <w:r w:rsidRPr="00F37080">
        <w:rPr>
          <w:i/>
          <w:sz w:val="24"/>
          <w:szCs w:val="24"/>
          <w:lang w:val="en-US"/>
        </w:rPr>
        <w:t>J. Biomed. Sci.</w:t>
      </w:r>
      <w:r>
        <w:rPr>
          <w:i/>
          <w:sz w:val="24"/>
          <w:szCs w:val="24"/>
          <w:lang w:val="en-US"/>
        </w:rPr>
        <w:t xml:space="preserve"> </w:t>
      </w:r>
      <w:r>
        <w:rPr>
          <w:b/>
          <w:sz w:val="24"/>
          <w:szCs w:val="24"/>
          <w:lang w:val="en-US"/>
        </w:rPr>
        <w:t>26</w:t>
      </w:r>
      <w:r>
        <w:rPr>
          <w:sz w:val="24"/>
          <w:szCs w:val="24"/>
          <w:lang w:val="en-US"/>
        </w:rPr>
        <w:t>, 33 (2019)</w:t>
      </w:r>
    </w:p>
    <w:p w14:paraId="142CD980" w14:textId="77777777" w:rsidR="00977FBD" w:rsidRPr="00E44DBC" w:rsidRDefault="00977FBD" w:rsidP="00977FBD">
      <w:pPr>
        <w:pStyle w:val="OCJENSKIRADOVIReferencija"/>
        <w:jc w:val="both"/>
        <w:rPr>
          <w:sz w:val="24"/>
          <w:szCs w:val="24"/>
        </w:rPr>
      </w:pPr>
      <w:r w:rsidRPr="00E44DBC">
        <w:rPr>
          <w:sz w:val="24"/>
          <w:szCs w:val="24"/>
        </w:rPr>
        <w:t>A</w:t>
      </w:r>
      <w:r>
        <w:rPr>
          <w:sz w:val="24"/>
          <w:szCs w:val="24"/>
        </w:rPr>
        <w:t xml:space="preserve">. </w:t>
      </w:r>
      <w:r w:rsidRPr="00E44DBC">
        <w:rPr>
          <w:sz w:val="24"/>
          <w:szCs w:val="24"/>
        </w:rPr>
        <w:t>Ott, M</w:t>
      </w:r>
      <w:r>
        <w:rPr>
          <w:sz w:val="24"/>
          <w:szCs w:val="24"/>
        </w:rPr>
        <w:t>.</w:t>
      </w:r>
      <w:r w:rsidRPr="00E44DBC">
        <w:rPr>
          <w:sz w:val="24"/>
          <w:szCs w:val="24"/>
        </w:rPr>
        <w:t xml:space="preserve"> M. B. Breteler, </w:t>
      </w:r>
      <w:r>
        <w:rPr>
          <w:sz w:val="24"/>
          <w:szCs w:val="24"/>
        </w:rPr>
        <w:t>F.</w:t>
      </w:r>
      <w:r w:rsidRPr="00E44DBC">
        <w:rPr>
          <w:sz w:val="24"/>
          <w:szCs w:val="24"/>
        </w:rPr>
        <w:t xml:space="preserve"> van Harskamp, T</w:t>
      </w:r>
      <w:r>
        <w:rPr>
          <w:sz w:val="24"/>
          <w:szCs w:val="24"/>
        </w:rPr>
        <w:t>.</w:t>
      </w:r>
      <w:r w:rsidRPr="00E44DBC">
        <w:rPr>
          <w:sz w:val="24"/>
          <w:szCs w:val="24"/>
        </w:rPr>
        <w:t xml:space="preserve"> Stijnen, A</w:t>
      </w:r>
      <w:r>
        <w:rPr>
          <w:sz w:val="24"/>
          <w:szCs w:val="24"/>
        </w:rPr>
        <w:t>.</w:t>
      </w:r>
      <w:r w:rsidRPr="00E44DBC">
        <w:rPr>
          <w:sz w:val="24"/>
          <w:szCs w:val="24"/>
        </w:rPr>
        <w:t xml:space="preserve"> Hofman</w:t>
      </w:r>
      <w:r>
        <w:rPr>
          <w:sz w:val="24"/>
          <w:szCs w:val="24"/>
        </w:rPr>
        <w:t xml:space="preserve">, </w:t>
      </w:r>
      <w:r>
        <w:rPr>
          <w:i/>
          <w:sz w:val="24"/>
          <w:szCs w:val="24"/>
        </w:rPr>
        <w:t xml:space="preserve">Am. J. Epidemiol. </w:t>
      </w:r>
      <w:r>
        <w:rPr>
          <w:b/>
          <w:sz w:val="24"/>
          <w:szCs w:val="24"/>
        </w:rPr>
        <w:t>147</w:t>
      </w:r>
      <w:r>
        <w:rPr>
          <w:sz w:val="24"/>
          <w:szCs w:val="24"/>
        </w:rPr>
        <w:t xml:space="preserve"> (1998) 574 – 580.</w:t>
      </w:r>
    </w:p>
    <w:p w14:paraId="0A81930A" w14:textId="77777777" w:rsidR="00977FBD" w:rsidRPr="00AE18C4" w:rsidRDefault="00977FBD" w:rsidP="00977FBD">
      <w:pPr>
        <w:pStyle w:val="OCJENSKIRADOVIReferencija"/>
        <w:jc w:val="both"/>
        <w:rPr>
          <w:i/>
          <w:sz w:val="24"/>
          <w:szCs w:val="24"/>
        </w:rPr>
      </w:pPr>
      <w:r w:rsidRPr="00AE18C4">
        <w:rPr>
          <w:i/>
          <w:sz w:val="24"/>
          <w:szCs w:val="24"/>
        </w:rPr>
        <w:t>Global dementia cases forecasted to triple by 2050</w:t>
      </w:r>
      <w:r>
        <w:rPr>
          <w:i/>
          <w:sz w:val="24"/>
          <w:szCs w:val="24"/>
        </w:rPr>
        <w:t>,</w:t>
      </w:r>
      <w:r>
        <w:rPr>
          <w:sz w:val="24"/>
          <w:szCs w:val="24"/>
        </w:rPr>
        <w:t xml:space="preserve"> Alzheimer's Association, Denver, 2021</w:t>
      </w:r>
    </w:p>
    <w:p w14:paraId="2367BAD1" w14:textId="77777777" w:rsidR="00977FBD" w:rsidRPr="00DD2246" w:rsidRDefault="00977FBD" w:rsidP="00977FBD">
      <w:pPr>
        <w:pStyle w:val="OCJENSKIRADOVIReferencija"/>
        <w:jc w:val="both"/>
        <w:rPr>
          <w:sz w:val="24"/>
          <w:szCs w:val="24"/>
          <w:lang w:eastAsia="hr-HR"/>
        </w:rPr>
      </w:pPr>
      <w:bookmarkStart w:id="49" w:name="_Hlk112321784"/>
      <w:r w:rsidRPr="00DD2246">
        <w:rPr>
          <w:sz w:val="24"/>
          <w:szCs w:val="24"/>
          <w:lang w:eastAsia="hr-HR"/>
        </w:rPr>
        <w:t>M. Blurton-Jones, F. M. LaFerla,</w:t>
      </w:r>
      <w:r>
        <w:rPr>
          <w:sz w:val="24"/>
          <w:szCs w:val="24"/>
          <w:lang w:eastAsia="hr-HR"/>
        </w:rPr>
        <w:t xml:space="preserve"> </w:t>
      </w:r>
      <w:r w:rsidRPr="00DD2246">
        <w:rPr>
          <w:i/>
          <w:iCs/>
          <w:sz w:val="24"/>
          <w:szCs w:val="24"/>
          <w:lang w:val="en-US" w:eastAsia="hr-HR"/>
        </w:rPr>
        <w:t>Curr. Alzheimer Res.</w:t>
      </w:r>
      <w:r>
        <w:rPr>
          <w:i/>
          <w:iCs/>
          <w:sz w:val="24"/>
          <w:szCs w:val="24"/>
          <w:lang w:val="en-US" w:eastAsia="hr-HR"/>
        </w:rPr>
        <w:t xml:space="preserve"> </w:t>
      </w:r>
      <w:r>
        <w:rPr>
          <w:b/>
          <w:iCs/>
          <w:sz w:val="24"/>
          <w:szCs w:val="24"/>
          <w:lang w:val="en-US" w:eastAsia="hr-HR"/>
        </w:rPr>
        <w:t>3</w:t>
      </w:r>
      <w:r>
        <w:rPr>
          <w:iCs/>
          <w:sz w:val="24"/>
          <w:szCs w:val="24"/>
          <w:lang w:val="en-US" w:eastAsia="hr-HR"/>
        </w:rPr>
        <w:t xml:space="preserve"> (2006) 437 </w:t>
      </w:r>
      <w:r>
        <w:rPr>
          <w:sz w:val="24"/>
          <w:szCs w:val="24"/>
        </w:rPr>
        <w:t>–</w:t>
      </w:r>
      <w:r>
        <w:rPr>
          <w:iCs/>
          <w:sz w:val="24"/>
          <w:szCs w:val="24"/>
          <w:lang w:val="en-US" w:eastAsia="hr-HR"/>
        </w:rPr>
        <w:t xml:space="preserve"> 448.</w:t>
      </w:r>
    </w:p>
    <w:bookmarkEnd w:id="49"/>
    <w:p w14:paraId="2CB19887" w14:textId="77777777" w:rsidR="00977FBD" w:rsidRPr="00AA07E8" w:rsidRDefault="00977FBD" w:rsidP="00977FBD">
      <w:pPr>
        <w:pStyle w:val="OCJENSKIRADOVIReferencija"/>
        <w:jc w:val="both"/>
        <w:rPr>
          <w:i/>
          <w:sz w:val="24"/>
          <w:szCs w:val="24"/>
        </w:rPr>
      </w:pPr>
      <w:r w:rsidRPr="00E44DBC">
        <w:rPr>
          <w:sz w:val="24"/>
          <w:szCs w:val="24"/>
        </w:rPr>
        <w:t>S</w:t>
      </w:r>
      <w:r>
        <w:rPr>
          <w:sz w:val="24"/>
          <w:szCs w:val="24"/>
        </w:rPr>
        <w:t>.</w:t>
      </w:r>
      <w:r w:rsidRPr="00E44DBC">
        <w:rPr>
          <w:sz w:val="24"/>
          <w:szCs w:val="24"/>
        </w:rPr>
        <w:t xml:space="preserve"> S</w:t>
      </w:r>
      <w:r>
        <w:rPr>
          <w:sz w:val="24"/>
          <w:szCs w:val="24"/>
        </w:rPr>
        <w:t xml:space="preserve">inha, </w:t>
      </w:r>
      <w:r w:rsidRPr="00E44DBC">
        <w:rPr>
          <w:sz w:val="24"/>
          <w:szCs w:val="24"/>
        </w:rPr>
        <w:t>I</w:t>
      </w:r>
      <w:r>
        <w:rPr>
          <w:sz w:val="24"/>
          <w:szCs w:val="24"/>
        </w:rPr>
        <w:t>.</w:t>
      </w:r>
      <w:r w:rsidRPr="00E44DBC">
        <w:rPr>
          <w:sz w:val="24"/>
          <w:szCs w:val="24"/>
        </w:rPr>
        <w:t xml:space="preserve"> L</w:t>
      </w:r>
      <w:r>
        <w:rPr>
          <w:sz w:val="24"/>
          <w:szCs w:val="24"/>
        </w:rPr>
        <w:t xml:space="preserve">ieberburg, </w:t>
      </w:r>
      <w:r w:rsidRPr="005B2505">
        <w:rPr>
          <w:i/>
          <w:sz w:val="24"/>
          <w:szCs w:val="24"/>
          <w:lang w:val="en-US"/>
        </w:rPr>
        <w:t>Proc. Natl. Acad. Sci. U.S.A</w:t>
      </w:r>
      <w:r>
        <w:rPr>
          <w:i/>
          <w:sz w:val="24"/>
          <w:szCs w:val="24"/>
          <w:lang w:val="en-US"/>
        </w:rPr>
        <w:t xml:space="preserve"> </w:t>
      </w:r>
      <w:r>
        <w:rPr>
          <w:b/>
          <w:sz w:val="24"/>
          <w:szCs w:val="24"/>
          <w:lang w:val="en-US"/>
        </w:rPr>
        <w:t>96</w:t>
      </w:r>
      <w:r>
        <w:rPr>
          <w:sz w:val="24"/>
          <w:szCs w:val="24"/>
          <w:lang w:val="en-US"/>
        </w:rPr>
        <w:t xml:space="preserve"> (1999) 11049 </w:t>
      </w:r>
      <w:r>
        <w:rPr>
          <w:sz w:val="24"/>
          <w:szCs w:val="24"/>
        </w:rPr>
        <w:t>–</w:t>
      </w:r>
      <w:r>
        <w:rPr>
          <w:sz w:val="24"/>
          <w:szCs w:val="24"/>
          <w:lang w:val="en-US"/>
        </w:rPr>
        <w:t xml:space="preserve"> 11053.</w:t>
      </w:r>
    </w:p>
    <w:p w14:paraId="78A5D05F" w14:textId="77777777" w:rsidR="00977FBD" w:rsidRPr="00AA07E8" w:rsidRDefault="00977FBD" w:rsidP="00977FBD">
      <w:pPr>
        <w:pStyle w:val="OCJENSKIRADOVIReferencija"/>
        <w:jc w:val="both"/>
        <w:rPr>
          <w:i/>
          <w:sz w:val="24"/>
          <w:szCs w:val="24"/>
        </w:rPr>
      </w:pPr>
      <w:bookmarkStart w:id="50" w:name="_Hlk112334326"/>
      <w:r w:rsidRPr="00E44DBC">
        <w:t>E</w:t>
      </w:r>
      <w:r>
        <w:t xml:space="preserve">. </w:t>
      </w:r>
      <w:r w:rsidRPr="00E44DBC">
        <w:t>Ristori, S</w:t>
      </w:r>
      <w:r>
        <w:t>.</w:t>
      </w:r>
      <w:r w:rsidRPr="00E44DBC">
        <w:t xml:space="preserve"> Donnini</w:t>
      </w:r>
      <w:r>
        <w:t>,</w:t>
      </w:r>
      <w:r w:rsidRPr="00E44DBC">
        <w:t xml:space="preserve"> M</w:t>
      </w:r>
      <w:r>
        <w:t>.</w:t>
      </w:r>
      <w:r w:rsidRPr="00E44DBC">
        <w:t xml:space="preserve"> Ziche</w:t>
      </w:r>
      <w:r>
        <w:t xml:space="preserve">, </w:t>
      </w:r>
      <w:r w:rsidRPr="00AA07E8">
        <w:rPr>
          <w:i/>
          <w:lang w:val="en-US"/>
        </w:rPr>
        <w:t xml:space="preserve">Front. Physiol. </w:t>
      </w:r>
      <w:r w:rsidRPr="00AA07E8">
        <w:rPr>
          <w:b/>
          <w:lang w:val="en-US"/>
        </w:rPr>
        <w:t>11</w:t>
      </w:r>
      <w:r w:rsidRPr="00AA07E8">
        <w:rPr>
          <w:lang w:val="en-US"/>
        </w:rPr>
        <w:t>, 1056 (2020)</w:t>
      </w:r>
    </w:p>
    <w:bookmarkEnd w:id="50"/>
    <w:p w14:paraId="5031A2C8" w14:textId="77777777" w:rsidR="00977FBD" w:rsidRPr="00E44DBC" w:rsidRDefault="00977FBD" w:rsidP="00977FBD">
      <w:pPr>
        <w:pStyle w:val="OCJENSKIRADOVIReferencija"/>
        <w:jc w:val="both"/>
        <w:rPr>
          <w:sz w:val="24"/>
        </w:rPr>
      </w:pPr>
      <w:r w:rsidRPr="00E44DBC">
        <w:rPr>
          <w:sz w:val="24"/>
        </w:rPr>
        <w:t>A</w:t>
      </w:r>
      <w:r>
        <w:rPr>
          <w:sz w:val="24"/>
        </w:rPr>
        <w:t>.</w:t>
      </w:r>
      <w:r w:rsidRPr="00E44DBC">
        <w:rPr>
          <w:sz w:val="24"/>
        </w:rPr>
        <w:t xml:space="preserve"> K. Ghosh</w:t>
      </w:r>
      <w:r>
        <w:rPr>
          <w:sz w:val="24"/>
        </w:rPr>
        <w:t>,</w:t>
      </w:r>
      <w:r w:rsidRPr="00E44DBC">
        <w:rPr>
          <w:sz w:val="24"/>
        </w:rPr>
        <w:t xml:space="preserve"> J</w:t>
      </w:r>
      <w:r>
        <w:rPr>
          <w:sz w:val="24"/>
        </w:rPr>
        <w:t>.</w:t>
      </w:r>
      <w:r w:rsidRPr="00E44DBC">
        <w:rPr>
          <w:sz w:val="24"/>
        </w:rPr>
        <w:t xml:space="preserve"> Tang</w:t>
      </w:r>
      <w:r>
        <w:rPr>
          <w:sz w:val="24"/>
        </w:rPr>
        <w:t xml:space="preserve">, </w:t>
      </w:r>
      <w:r w:rsidRPr="000E60E5">
        <w:rPr>
          <w:i/>
          <w:sz w:val="24"/>
        </w:rPr>
        <w:t>ChemMedChem.</w:t>
      </w:r>
      <w:r>
        <w:rPr>
          <w:i/>
          <w:sz w:val="24"/>
        </w:rPr>
        <w:t xml:space="preserve"> </w:t>
      </w:r>
      <w:r>
        <w:rPr>
          <w:b/>
          <w:sz w:val="24"/>
        </w:rPr>
        <w:t>10</w:t>
      </w:r>
      <w:r>
        <w:rPr>
          <w:sz w:val="24"/>
        </w:rPr>
        <w:t xml:space="preserve"> (2015) 1463 – 1466. </w:t>
      </w:r>
    </w:p>
    <w:p w14:paraId="4E46F77D" w14:textId="77777777" w:rsidR="00977FBD" w:rsidRPr="00E44DBC" w:rsidRDefault="00977FBD" w:rsidP="00977FBD">
      <w:pPr>
        <w:pStyle w:val="OCJENSKIRADOVIReferencija"/>
        <w:jc w:val="both"/>
        <w:rPr>
          <w:sz w:val="24"/>
        </w:rPr>
      </w:pPr>
      <w:r w:rsidRPr="00E44DBC">
        <w:rPr>
          <w:sz w:val="24"/>
        </w:rPr>
        <w:lastRenderedPageBreak/>
        <w:t>B</w:t>
      </w:r>
      <w:r>
        <w:rPr>
          <w:sz w:val="24"/>
        </w:rPr>
        <w:t>.</w:t>
      </w:r>
      <w:r w:rsidRPr="00E44DBC">
        <w:rPr>
          <w:sz w:val="24"/>
        </w:rPr>
        <w:t xml:space="preserve"> P. Kearney, F</w:t>
      </w:r>
      <w:r>
        <w:rPr>
          <w:sz w:val="24"/>
        </w:rPr>
        <w:t>.</w:t>
      </w:r>
      <w:r w:rsidRPr="00E44DBC">
        <w:rPr>
          <w:sz w:val="24"/>
        </w:rPr>
        <w:t xml:space="preserve"> T. Aweeka,</w:t>
      </w:r>
      <w:r>
        <w:rPr>
          <w:sz w:val="24"/>
        </w:rPr>
        <w:t xml:space="preserve"> </w:t>
      </w:r>
      <w:r w:rsidRPr="00EA637F">
        <w:rPr>
          <w:i/>
          <w:sz w:val="24"/>
          <w:lang w:val="en-US"/>
        </w:rPr>
        <w:t>Neurol. Clin.</w:t>
      </w:r>
      <w:r>
        <w:rPr>
          <w:i/>
          <w:sz w:val="24"/>
          <w:lang w:val="en-US"/>
        </w:rPr>
        <w:t xml:space="preserve"> </w:t>
      </w:r>
      <w:r>
        <w:rPr>
          <w:b/>
          <w:sz w:val="24"/>
          <w:lang w:val="en-US"/>
        </w:rPr>
        <w:t>17</w:t>
      </w:r>
      <w:r>
        <w:rPr>
          <w:sz w:val="24"/>
          <w:lang w:val="en-US"/>
        </w:rPr>
        <w:t xml:space="preserve"> (1999) 883 – 900.</w:t>
      </w:r>
    </w:p>
    <w:p w14:paraId="4AF6BF72" w14:textId="77777777" w:rsidR="00977FBD" w:rsidRDefault="00977FBD" w:rsidP="00977FBD">
      <w:pPr>
        <w:pStyle w:val="OCJENSKIRADOVIReferencija"/>
        <w:jc w:val="both"/>
        <w:rPr>
          <w:sz w:val="24"/>
        </w:rPr>
      </w:pPr>
      <w:r w:rsidRPr="00E44DBC">
        <w:rPr>
          <w:sz w:val="24"/>
        </w:rPr>
        <w:t>A.</w:t>
      </w:r>
      <w:r>
        <w:rPr>
          <w:sz w:val="24"/>
        </w:rPr>
        <w:t xml:space="preserve"> </w:t>
      </w:r>
      <w:r w:rsidRPr="00E44DBC">
        <w:rPr>
          <w:sz w:val="24"/>
        </w:rPr>
        <w:t>K.</w:t>
      </w:r>
      <w:r>
        <w:rPr>
          <w:sz w:val="24"/>
        </w:rPr>
        <w:t xml:space="preserve"> </w:t>
      </w:r>
      <w:r w:rsidRPr="00E44DBC">
        <w:rPr>
          <w:sz w:val="24"/>
        </w:rPr>
        <w:t xml:space="preserve">Gosh, M. Brindisi, J. </w:t>
      </w:r>
      <w:r>
        <w:rPr>
          <w:sz w:val="24"/>
        </w:rPr>
        <w:t>T</w:t>
      </w:r>
      <w:r w:rsidRPr="00E44DBC">
        <w:rPr>
          <w:sz w:val="24"/>
        </w:rPr>
        <w:t>ang</w:t>
      </w:r>
      <w:r>
        <w:rPr>
          <w:sz w:val="24"/>
        </w:rPr>
        <w:t xml:space="preserve">, </w:t>
      </w:r>
      <w:r w:rsidRPr="00B816FF">
        <w:rPr>
          <w:i/>
          <w:sz w:val="24"/>
        </w:rPr>
        <w:t>J. Neurochem.</w:t>
      </w:r>
      <w:r>
        <w:rPr>
          <w:i/>
          <w:sz w:val="24"/>
        </w:rPr>
        <w:t xml:space="preserve"> </w:t>
      </w:r>
      <w:r>
        <w:rPr>
          <w:b/>
          <w:sz w:val="24"/>
        </w:rPr>
        <w:t xml:space="preserve">120 </w:t>
      </w:r>
      <w:r>
        <w:rPr>
          <w:sz w:val="24"/>
        </w:rPr>
        <w:t xml:space="preserve">(2012) 71 </w:t>
      </w:r>
      <w:r>
        <w:rPr>
          <w:sz w:val="24"/>
          <w:lang w:val="en-US"/>
        </w:rPr>
        <w:t>–</w:t>
      </w:r>
      <w:r>
        <w:rPr>
          <w:sz w:val="24"/>
        </w:rPr>
        <w:t xml:space="preserve"> 83.</w:t>
      </w:r>
    </w:p>
    <w:p w14:paraId="6D2F84CB" w14:textId="77777777" w:rsidR="00977FBD" w:rsidRDefault="00977FBD" w:rsidP="00977FBD">
      <w:pPr>
        <w:pStyle w:val="OCJENSKIRADOVIReferencija"/>
        <w:jc w:val="both"/>
        <w:rPr>
          <w:sz w:val="24"/>
        </w:rPr>
      </w:pPr>
      <w:r w:rsidRPr="00E44DBC">
        <w:rPr>
          <w:sz w:val="24"/>
        </w:rPr>
        <w:t>M</w:t>
      </w:r>
      <w:r>
        <w:rPr>
          <w:sz w:val="24"/>
        </w:rPr>
        <w:t>.</w:t>
      </w:r>
      <w:r w:rsidRPr="00E44DBC">
        <w:rPr>
          <w:sz w:val="24"/>
        </w:rPr>
        <w:t xml:space="preserve"> Benchekroun, S</w:t>
      </w:r>
      <w:r>
        <w:rPr>
          <w:sz w:val="24"/>
        </w:rPr>
        <w:t>.</w:t>
      </w:r>
      <w:r w:rsidRPr="00E44DBC">
        <w:rPr>
          <w:sz w:val="24"/>
        </w:rPr>
        <w:t xml:space="preserve"> Maramai</w:t>
      </w:r>
      <w:r>
        <w:rPr>
          <w:sz w:val="24"/>
        </w:rPr>
        <w:t xml:space="preserve">, </w:t>
      </w:r>
      <w:r w:rsidRPr="00EB0A98">
        <w:rPr>
          <w:i/>
          <w:sz w:val="24"/>
        </w:rPr>
        <w:t>Future Med. Chem.</w:t>
      </w:r>
      <w:r>
        <w:rPr>
          <w:i/>
          <w:sz w:val="24"/>
        </w:rPr>
        <w:t xml:space="preserve"> </w:t>
      </w:r>
      <w:r>
        <w:rPr>
          <w:b/>
          <w:sz w:val="24"/>
        </w:rPr>
        <w:t>11</w:t>
      </w:r>
      <w:r>
        <w:rPr>
          <w:sz w:val="24"/>
        </w:rPr>
        <w:t xml:space="preserve"> (2019) 261 – 263.</w:t>
      </w:r>
    </w:p>
    <w:p w14:paraId="34069CC5" w14:textId="77777777" w:rsidR="00977FBD" w:rsidRDefault="00977FBD" w:rsidP="00977FBD">
      <w:pPr>
        <w:pStyle w:val="OCJENSKIRADOVIReferencija"/>
        <w:jc w:val="both"/>
        <w:rPr>
          <w:sz w:val="24"/>
        </w:rPr>
      </w:pPr>
      <w:r w:rsidRPr="00E44DBC">
        <w:rPr>
          <w:sz w:val="24"/>
        </w:rPr>
        <w:t>B</w:t>
      </w:r>
      <w:r>
        <w:rPr>
          <w:sz w:val="24"/>
        </w:rPr>
        <w:t>.</w:t>
      </w:r>
      <w:r w:rsidRPr="00E44DBC">
        <w:rPr>
          <w:sz w:val="24"/>
        </w:rPr>
        <w:t xml:space="preserve"> P. Imbimbo</w:t>
      </w:r>
      <w:r>
        <w:rPr>
          <w:sz w:val="24"/>
        </w:rPr>
        <w:t>,</w:t>
      </w:r>
      <w:r w:rsidRPr="00E44DBC">
        <w:rPr>
          <w:sz w:val="24"/>
        </w:rPr>
        <w:t xml:space="preserve"> M</w:t>
      </w:r>
      <w:r>
        <w:rPr>
          <w:sz w:val="24"/>
        </w:rPr>
        <w:t>.</w:t>
      </w:r>
      <w:r w:rsidRPr="00E44DBC">
        <w:rPr>
          <w:sz w:val="24"/>
        </w:rPr>
        <w:t xml:space="preserve"> Watling</w:t>
      </w:r>
      <w:r>
        <w:rPr>
          <w:sz w:val="24"/>
        </w:rPr>
        <w:t xml:space="preserve">, </w:t>
      </w:r>
      <w:r w:rsidRPr="00CD2E49">
        <w:rPr>
          <w:i/>
          <w:sz w:val="24"/>
        </w:rPr>
        <w:t>Expert Opin. Investig. Drugs</w:t>
      </w:r>
      <w:r>
        <w:rPr>
          <w:i/>
          <w:sz w:val="24"/>
        </w:rPr>
        <w:t xml:space="preserve"> </w:t>
      </w:r>
      <w:r>
        <w:rPr>
          <w:b/>
          <w:sz w:val="24"/>
        </w:rPr>
        <w:t xml:space="preserve">28 </w:t>
      </w:r>
      <w:r>
        <w:rPr>
          <w:sz w:val="24"/>
        </w:rPr>
        <w:t>(2019) 967 – 975.</w:t>
      </w:r>
    </w:p>
    <w:p w14:paraId="61424E99" w14:textId="77777777" w:rsidR="00977FBD" w:rsidRPr="003946DF" w:rsidRDefault="00977FBD" w:rsidP="00977FBD">
      <w:pPr>
        <w:pStyle w:val="OCJENSKIRADOVIReferencija"/>
        <w:jc w:val="both"/>
        <w:rPr>
          <w:sz w:val="24"/>
        </w:rPr>
      </w:pPr>
      <w:r w:rsidRPr="003946DF">
        <w:rPr>
          <w:sz w:val="24"/>
        </w:rPr>
        <w:t xml:space="preserve">J. Cummings, u P. C. Guest (ur.), </w:t>
      </w:r>
      <w:r w:rsidRPr="003946DF">
        <w:rPr>
          <w:i/>
          <w:sz w:val="24"/>
        </w:rPr>
        <w:t>Advances in Experimental Medicine and Biology</w:t>
      </w:r>
      <w:r w:rsidRPr="003946DF">
        <w:rPr>
          <w:sz w:val="24"/>
        </w:rPr>
        <w:t>, Vol. 1118,  Springer Nature Switzrland AG, 2019, str. 29 – 61.</w:t>
      </w:r>
    </w:p>
    <w:p w14:paraId="1C757A08" w14:textId="77777777" w:rsidR="001242D0" w:rsidRPr="00E44DBC" w:rsidRDefault="001242D0" w:rsidP="00977FBD">
      <w:pPr>
        <w:pStyle w:val="OCJENSKIRADOVIReferencija"/>
        <w:numPr>
          <w:ilvl w:val="0"/>
          <w:numId w:val="0"/>
        </w:numPr>
        <w:ind w:left="454"/>
        <w:jc w:val="both"/>
        <w:rPr>
          <w:sz w:val="24"/>
        </w:rPr>
      </w:pPr>
    </w:p>
    <w:p w14:paraId="08D2846D" w14:textId="77777777" w:rsidR="00B67E54" w:rsidRPr="00E44DBC" w:rsidRDefault="00B67E54" w:rsidP="00B67E54">
      <w:pPr>
        <w:pStyle w:val="OCJENSKIRADOVIReferencija"/>
        <w:numPr>
          <w:ilvl w:val="0"/>
          <w:numId w:val="0"/>
        </w:numPr>
        <w:ind w:left="454"/>
        <w:jc w:val="both"/>
        <w:rPr>
          <w:sz w:val="24"/>
        </w:rPr>
      </w:pPr>
    </w:p>
    <w:p w14:paraId="0F2EFCA1" w14:textId="77777777" w:rsidR="00B67E54" w:rsidRPr="00E44DBC" w:rsidRDefault="00B67E54" w:rsidP="00B67E54">
      <w:pPr>
        <w:pStyle w:val="OCJENSKIRADOVIReferencija"/>
        <w:numPr>
          <w:ilvl w:val="0"/>
          <w:numId w:val="0"/>
        </w:numPr>
        <w:ind w:left="454" w:hanging="454"/>
        <w:jc w:val="both"/>
        <w:rPr>
          <w:sz w:val="24"/>
        </w:rPr>
      </w:pPr>
    </w:p>
    <w:p w14:paraId="189E545A" w14:textId="77777777" w:rsidR="00B67E54" w:rsidRPr="00E44DBC" w:rsidRDefault="00B67E54" w:rsidP="00B67E54">
      <w:pPr>
        <w:pStyle w:val="OCJENSKIRADOVIReferencija"/>
        <w:numPr>
          <w:ilvl w:val="0"/>
          <w:numId w:val="0"/>
        </w:numPr>
        <w:ind w:left="454" w:hanging="454"/>
        <w:jc w:val="both"/>
        <w:rPr>
          <w:sz w:val="24"/>
        </w:rPr>
      </w:pPr>
    </w:p>
    <w:bookmarkEnd w:id="45"/>
    <w:p w14:paraId="0D16CC74" w14:textId="77777777" w:rsidR="00C96BC2" w:rsidRDefault="00C96BC2" w:rsidP="00C96BC2">
      <w:pPr>
        <w:pStyle w:val="OCJENSKIRADOVIOdlomak2OSTALIODLOMCI"/>
        <w:ind w:firstLine="0"/>
      </w:pPr>
    </w:p>
    <w:p w14:paraId="3EAE23C1" w14:textId="77777777" w:rsidR="00C96BC2" w:rsidRDefault="00C96BC2" w:rsidP="00C96BC2">
      <w:pPr>
        <w:pStyle w:val="OCJENSKIRADOVIOdlomak2OSTALIODLOMCI"/>
        <w:ind w:firstLine="0"/>
      </w:pPr>
    </w:p>
    <w:p w14:paraId="399E83FF" w14:textId="77777777" w:rsidR="00C96BC2" w:rsidRDefault="00C96BC2" w:rsidP="00C96BC2">
      <w:pPr>
        <w:pStyle w:val="OCJENSKIRADOVIOdlomak2OSTALIODLOMCI"/>
        <w:ind w:firstLine="0"/>
      </w:pPr>
    </w:p>
    <w:p w14:paraId="113AA229" w14:textId="77777777" w:rsidR="00C96BC2" w:rsidRDefault="00C96BC2" w:rsidP="00C96BC2">
      <w:pPr>
        <w:pStyle w:val="OCJENSKIRADOVIOdlomak2OSTALIODLOMCI"/>
        <w:ind w:firstLine="0"/>
      </w:pPr>
    </w:p>
    <w:p w14:paraId="116BAE2D" w14:textId="77777777" w:rsidR="00EF2376" w:rsidRDefault="00EF2376" w:rsidP="00A907CF">
      <w:pPr>
        <w:pStyle w:val="OCJENSKIRADOVIOdlomak2OSTALIODLOMCI"/>
      </w:pPr>
    </w:p>
    <w:p w14:paraId="6B05BF6C" w14:textId="77777777" w:rsidR="00EF2376" w:rsidRDefault="00EF2376" w:rsidP="00A907CF">
      <w:pPr>
        <w:pStyle w:val="OCJENSKIRADOVIOdlomak2OSTALIODLOMCI"/>
      </w:pPr>
    </w:p>
    <w:p w14:paraId="568D9296" w14:textId="77777777" w:rsidR="00EF2376" w:rsidRDefault="00EF2376" w:rsidP="00A907CF">
      <w:pPr>
        <w:pStyle w:val="OCJENSKIRADOVIOdlomak2OSTALIODLOMCI"/>
      </w:pPr>
    </w:p>
    <w:p w14:paraId="103D642E" w14:textId="77777777" w:rsidR="00EF2376" w:rsidRDefault="00EF2376" w:rsidP="00A907CF">
      <w:pPr>
        <w:pStyle w:val="OCJENSKIRADOVIOdlomak2OSTALIODLOMCI"/>
      </w:pPr>
    </w:p>
    <w:p w14:paraId="1E38EA77" w14:textId="77777777" w:rsidR="00EF2376" w:rsidRDefault="00EF2376" w:rsidP="00A907CF">
      <w:pPr>
        <w:pStyle w:val="OCJENSKIRADOVIOdlomak2OSTALIODLOMCI"/>
      </w:pPr>
    </w:p>
    <w:p w14:paraId="0887A216" w14:textId="77777777" w:rsidR="00EF2376" w:rsidRDefault="00EF2376" w:rsidP="00A907CF">
      <w:pPr>
        <w:pStyle w:val="OCJENSKIRADOVIOdlomak2OSTALIODLOMCI"/>
      </w:pPr>
    </w:p>
    <w:p w14:paraId="5661EB13" w14:textId="77777777" w:rsidR="00654027" w:rsidRDefault="00654027" w:rsidP="00526F52">
      <w:pPr>
        <w:pStyle w:val="OCJENSKIRADOVI1Naslovpoglavlja"/>
        <w:numPr>
          <w:ilvl w:val="0"/>
          <w:numId w:val="0"/>
        </w:numPr>
        <w:rPr>
          <w:bCs w:val="0"/>
          <w:iCs/>
        </w:rPr>
      </w:pPr>
    </w:p>
    <w:sectPr w:rsidR="00654027" w:rsidSect="00CF6BB4">
      <w:headerReference w:type="default" r:id="rId44"/>
      <w:pgSz w:w="11907" w:h="16840" w:code="9"/>
      <w:pgMar w:top="1701" w:right="1418" w:bottom="1701" w:left="1418" w:header="1134" w:footer="1134" w:gutter="0"/>
      <w:pgNumType w:fmt="low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E6F775" w14:textId="77777777" w:rsidR="008D7582" w:rsidRDefault="008D7582">
      <w:r>
        <w:separator/>
      </w:r>
    </w:p>
    <w:p w14:paraId="7FB03C96" w14:textId="77777777" w:rsidR="008D7582" w:rsidRDefault="008D7582"/>
    <w:p w14:paraId="271134B7" w14:textId="77777777" w:rsidR="008D7582" w:rsidRDefault="008D7582"/>
  </w:endnote>
  <w:endnote w:type="continuationSeparator" w:id="0">
    <w:p w14:paraId="1A6412BF" w14:textId="77777777" w:rsidR="008D7582" w:rsidRDefault="008D7582">
      <w:r>
        <w:continuationSeparator/>
      </w:r>
    </w:p>
    <w:p w14:paraId="0C2FE64F" w14:textId="77777777" w:rsidR="008D7582" w:rsidRDefault="008D7582"/>
    <w:p w14:paraId="24A30BAA" w14:textId="77777777" w:rsidR="008D7582" w:rsidRDefault="008D75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DB574" w14:textId="77777777" w:rsidR="00547F7B" w:rsidRPr="009D2C88" w:rsidRDefault="00547F7B" w:rsidP="003F1372">
    <w:pPr>
      <w:pStyle w:val="OCJENSKIRADOVI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B6349" w14:textId="77777777" w:rsidR="00547F7B" w:rsidRPr="009D2C88" w:rsidRDefault="00547F7B" w:rsidP="00BC1200">
    <w:pPr>
      <w:pStyle w:val="OCJENSKIRADOVIFooter"/>
      <w:pBdr>
        <w:top w:val="single" w:sz="4" w:space="1" w:color="auto"/>
      </w:pBdr>
    </w:pPr>
    <w:r>
      <w:t>Marija Bartolić</w:t>
    </w:r>
    <w:r>
      <w:tab/>
    </w:r>
    <w:r>
      <w:rPr>
        <w:i/>
        <w:iCs/>
      </w:rPr>
      <w:t>Kemijski seminar 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0EC69" w14:textId="77777777" w:rsidR="008D7582" w:rsidRDefault="008D7582">
      <w:r>
        <w:separator/>
      </w:r>
    </w:p>
    <w:p w14:paraId="30DA51AF" w14:textId="77777777" w:rsidR="008D7582" w:rsidRDefault="008D7582"/>
    <w:p w14:paraId="427C82BC" w14:textId="77777777" w:rsidR="008D7582" w:rsidRDefault="008D7582"/>
  </w:footnote>
  <w:footnote w:type="continuationSeparator" w:id="0">
    <w:p w14:paraId="300074B6" w14:textId="77777777" w:rsidR="008D7582" w:rsidRDefault="008D7582">
      <w:r>
        <w:continuationSeparator/>
      </w:r>
    </w:p>
    <w:p w14:paraId="1C8A43F5" w14:textId="77777777" w:rsidR="008D7582" w:rsidRDefault="008D7582"/>
    <w:p w14:paraId="7F5DDFAC" w14:textId="77777777" w:rsidR="008D7582" w:rsidRDefault="008D75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5F3C5" w14:textId="77777777" w:rsidR="00547F7B" w:rsidRPr="009D2C88" w:rsidRDefault="00547F7B" w:rsidP="003F1372">
    <w:pPr>
      <w:pStyle w:val="OCJENSKIRADOVI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2BBA1" w14:textId="77777777" w:rsidR="00547F7B" w:rsidRPr="00C9165C" w:rsidRDefault="00547F7B" w:rsidP="00BC1200">
    <w:pPr>
      <w:pStyle w:val="OCJENSKIRADOVIHeader"/>
      <w:pBdr>
        <w:bottom w:val="single" w:sz="4" w:space="1" w:color="auto"/>
      </w:pBdr>
    </w:pPr>
    <w:r>
      <w:t>§ 1</w:t>
    </w:r>
    <w:r w:rsidRPr="00C9165C">
      <w:t xml:space="preserve">. </w:t>
    </w:r>
    <w:r>
      <w:t>Uvod</w:t>
    </w:r>
    <w:r w:rsidRPr="00C9165C">
      <w:tab/>
    </w:r>
    <w:r>
      <w:fldChar w:fldCharType="begin"/>
    </w:r>
    <w:r>
      <w:instrText xml:space="preserve"> PAGE </w:instrText>
    </w:r>
    <w:r>
      <w:fldChar w:fldCharType="separate"/>
    </w:r>
    <w:r>
      <w:rPr>
        <w:noProof/>
      </w:rP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0EBEF" w14:textId="77777777" w:rsidR="00547F7B" w:rsidRPr="00C9165C" w:rsidRDefault="00547F7B" w:rsidP="00171E1F">
    <w:pPr>
      <w:pStyle w:val="OCJENSKIRADOVIHeader"/>
      <w:pBdr>
        <w:bottom w:val="single" w:sz="4" w:space="1" w:color="auto"/>
      </w:pBdr>
    </w:pPr>
    <w:r>
      <w:t>§ 2</w:t>
    </w:r>
    <w:r w:rsidRPr="00C9165C">
      <w:t>.</w:t>
    </w:r>
    <w:r>
      <w:t xml:space="preserve"> β-sekretaze</w:t>
    </w:r>
    <w:r w:rsidRPr="00C9165C">
      <w:tab/>
    </w:r>
    <w:r>
      <w:fldChar w:fldCharType="begin"/>
    </w:r>
    <w:r>
      <w:instrText xml:space="preserve"> PAGE </w:instrText>
    </w:r>
    <w:r>
      <w:fldChar w:fldCharType="separate"/>
    </w:r>
    <w:r>
      <w:rPr>
        <w:noProof/>
      </w:rPr>
      <w:t>xvi</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65576" w14:textId="77777777" w:rsidR="00547F7B" w:rsidRPr="00C9165C" w:rsidRDefault="00547F7B" w:rsidP="00171E1F">
    <w:pPr>
      <w:pStyle w:val="OCJENSKIRADOVIHeader"/>
      <w:pBdr>
        <w:bottom w:val="single" w:sz="4" w:space="1" w:color="auto"/>
      </w:pBdr>
    </w:pPr>
    <w:r>
      <w:t>§ 3</w:t>
    </w:r>
    <w:r w:rsidRPr="00C9165C">
      <w:t>.</w:t>
    </w:r>
    <w:r>
      <w:t xml:space="preserve"> Razvoj inhibitora β-sekretaze</w:t>
    </w:r>
    <w:r w:rsidRPr="00C9165C">
      <w:tab/>
    </w:r>
    <w:r>
      <w:fldChar w:fldCharType="begin"/>
    </w:r>
    <w:r>
      <w:instrText xml:space="preserve"> PAGE </w:instrText>
    </w:r>
    <w:r>
      <w:fldChar w:fldCharType="separate"/>
    </w:r>
    <w:r>
      <w:rPr>
        <w:noProof/>
      </w:rPr>
      <w:t>xvi</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F1862" w14:textId="77777777" w:rsidR="00547F7B" w:rsidRPr="00C9165C" w:rsidRDefault="00547F7B" w:rsidP="00171E1F">
    <w:pPr>
      <w:pStyle w:val="OCJENSKIRADOVIHeader"/>
      <w:pBdr>
        <w:bottom w:val="single" w:sz="4" w:space="1" w:color="auto"/>
      </w:pBdr>
    </w:pPr>
    <w:r>
      <w:t>§ 4. Zaključak</w:t>
    </w:r>
    <w:r w:rsidRPr="00C9165C">
      <w:tab/>
    </w:r>
    <w:r>
      <w:fldChar w:fldCharType="begin"/>
    </w:r>
    <w:r>
      <w:instrText xml:space="preserve"> PAGE </w:instrText>
    </w:r>
    <w:r>
      <w:fldChar w:fldCharType="separate"/>
    </w:r>
    <w:r>
      <w:rPr>
        <w:noProof/>
      </w:rPr>
      <w:t>xvi</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8ECBA" w14:textId="77777777" w:rsidR="00547F7B" w:rsidRPr="00C9165C" w:rsidRDefault="00547F7B" w:rsidP="00171E1F">
    <w:pPr>
      <w:pStyle w:val="OCJENSKIRADOVIHeader"/>
      <w:pBdr>
        <w:bottom w:val="single" w:sz="4" w:space="1" w:color="auto"/>
      </w:pBdr>
    </w:pPr>
    <w:r>
      <w:t>§ 5</w:t>
    </w:r>
    <w:r w:rsidRPr="00C9165C">
      <w:t xml:space="preserve">. </w:t>
    </w:r>
    <w:r>
      <w:t>Literaturni izvori</w:t>
    </w:r>
    <w:r w:rsidRPr="00C9165C">
      <w:tab/>
    </w:r>
    <w:r>
      <w:fldChar w:fldCharType="begin"/>
    </w:r>
    <w:r>
      <w:instrText xml:space="preserve"> PAGE </w:instrText>
    </w:r>
    <w:r>
      <w:fldChar w:fldCharType="separate"/>
    </w:r>
    <w:r>
      <w:rPr>
        <w:noProof/>
      </w:rPr>
      <w:t>xvi</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6414D"/>
    <w:multiLevelType w:val="multilevel"/>
    <w:tmpl w:val="D460EEF6"/>
    <w:styleLink w:val="CurrentList1"/>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1.%2."/>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 w15:restartNumberingAfterBreak="0">
    <w:nsid w:val="2C6D015D"/>
    <w:multiLevelType w:val="hybridMultilevel"/>
    <w:tmpl w:val="A964FF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CC102D"/>
    <w:multiLevelType w:val="hybridMultilevel"/>
    <w:tmpl w:val="628E37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5F247C"/>
    <w:multiLevelType w:val="hybridMultilevel"/>
    <w:tmpl w:val="A9C80F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A31F8C"/>
    <w:multiLevelType w:val="hybridMultilevel"/>
    <w:tmpl w:val="5AFA8F12"/>
    <w:lvl w:ilvl="0" w:tplc="A7B411CE">
      <w:start w:val="1"/>
      <w:numFmt w:val="decimal"/>
      <w:pStyle w:val="CCAReference"/>
      <w:lvlText w:val="%1."/>
      <w:lvlJc w:val="right"/>
      <w:pPr>
        <w:ind w:left="53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3FAB3C8A"/>
    <w:multiLevelType w:val="hybridMultilevel"/>
    <w:tmpl w:val="719CC9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3D13E1"/>
    <w:multiLevelType w:val="hybridMultilevel"/>
    <w:tmpl w:val="8390D46E"/>
    <w:lvl w:ilvl="0" w:tplc="26B09228">
      <w:start w:val="1"/>
      <w:numFmt w:val="decimal"/>
      <w:pStyle w:val="OCJENSKIRADOVIReferencija"/>
      <w:lvlText w:val="%1."/>
      <w:lvlJc w:val="left"/>
      <w:pPr>
        <w:ind w:left="5606" w:hanging="360"/>
      </w:pPr>
      <w:rPr>
        <w:rFonts w:hint="default"/>
        <w:i w:val="0"/>
      </w:rPr>
    </w:lvl>
    <w:lvl w:ilvl="1" w:tplc="041A0019">
      <w:start w:val="1"/>
      <w:numFmt w:val="lowerLetter"/>
      <w:lvlText w:val="%2."/>
      <w:lvlJc w:val="left"/>
      <w:pPr>
        <w:ind w:left="6686" w:hanging="360"/>
      </w:pPr>
    </w:lvl>
    <w:lvl w:ilvl="2" w:tplc="041A001B">
      <w:start w:val="1"/>
      <w:numFmt w:val="lowerRoman"/>
      <w:lvlText w:val="%3."/>
      <w:lvlJc w:val="right"/>
      <w:pPr>
        <w:ind w:left="7406" w:hanging="180"/>
      </w:pPr>
    </w:lvl>
    <w:lvl w:ilvl="3" w:tplc="041A000F">
      <w:start w:val="1"/>
      <w:numFmt w:val="decimal"/>
      <w:lvlText w:val="%4."/>
      <w:lvlJc w:val="left"/>
      <w:pPr>
        <w:ind w:left="8126" w:hanging="360"/>
      </w:pPr>
    </w:lvl>
    <w:lvl w:ilvl="4" w:tplc="041A0019">
      <w:start w:val="1"/>
      <w:numFmt w:val="lowerLetter"/>
      <w:lvlText w:val="%5."/>
      <w:lvlJc w:val="left"/>
      <w:pPr>
        <w:ind w:left="8846" w:hanging="360"/>
      </w:pPr>
    </w:lvl>
    <w:lvl w:ilvl="5" w:tplc="041A001B">
      <w:start w:val="1"/>
      <w:numFmt w:val="lowerRoman"/>
      <w:lvlText w:val="%6."/>
      <w:lvlJc w:val="right"/>
      <w:pPr>
        <w:ind w:left="9566" w:hanging="180"/>
      </w:pPr>
    </w:lvl>
    <w:lvl w:ilvl="6" w:tplc="041A000F">
      <w:start w:val="1"/>
      <w:numFmt w:val="decimal"/>
      <w:lvlText w:val="%7."/>
      <w:lvlJc w:val="left"/>
      <w:pPr>
        <w:ind w:left="10286" w:hanging="360"/>
      </w:pPr>
    </w:lvl>
    <w:lvl w:ilvl="7" w:tplc="041A0019">
      <w:start w:val="1"/>
      <w:numFmt w:val="lowerLetter"/>
      <w:lvlText w:val="%8."/>
      <w:lvlJc w:val="left"/>
      <w:pPr>
        <w:ind w:left="11006" w:hanging="360"/>
      </w:pPr>
    </w:lvl>
    <w:lvl w:ilvl="8" w:tplc="041A001B">
      <w:start w:val="1"/>
      <w:numFmt w:val="lowerRoman"/>
      <w:lvlText w:val="%9."/>
      <w:lvlJc w:val="right"/>
      <w:pPr>
        <w:ind w:left="11726" w:hanging="180"/>
      </w:pPr>
    </w:lvl>
  </w:abstractNum>
  <w:abstractNum w:abstractNumId="7" w15:restartNumberingAfterBreak="0">
    <w:nsid w:val="665D3BE0"/>
    <w:multiLevelType w:val="multilevel"/>
    <w:tmpl w:val="04090023"/>
    <w:lvl w:ilvl="0">
      <w:start w:val="1"/>
      <w:numFmt w:val="upperRoman"/>
      <w:pStyle w:val="Heading1"/>
      <w:lvlText w:val="Article %1."/>
      <w:lvlJc w:val="left"/>
      <w:pPr>
        <w:tabs>
          <w:tab w:val="num" w:pos="1800"/>
        </w:tabs>
      </w:pPr>
    </w:lvl>
    <w:lvl w:ilvl="1">
      <w:start w:val="1"/>
      <w:numFmt w:val="decimalZero"/>
      <w:pStyle w:val="Heading2"/>
      <w:isLgl/>
      <w:lvlText w:val="Section %1.%2"/>
      <w:lvlJc w:val="left"/>
      <w:pPr>
        <w:tabs>
          <w:tab w:val="num" w:pos="1800"/>
        </w:tabs>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75731BC2"/>
    <w:multiLevelType w:val="multilevel"/>
    <w:tmpl w:val="6BDAE712"/>
    <w:lvl w:ilvl="0">
      <w:start w:val="1"/>
      <w:numFmt w:val="decimal"/>
      <w:pStyle w:val="OCJENSKIRADOVI1Naslovpoglavlja"/>
      <w:lvlText w:val="§ %1."/>
      <w:lvlJc w:val="left"/>
      <w:pPr>
        <w:tabs>
          <w:tab w:val="num" w:pos="851"/>
        </w:tabs>
        <w:ind w:left="851" w:hanging="851"/>
      </w:pPr>
      <w:rPr>
        <w:rFonts w:hint="default"/>
      </w:rPr>
    </w:lvl>
    <w:lvl w:ilvl="1">
      <w:start w:val="1"/>
      <w:numFmt w:val="decimal"/>
      <w:pStyle w:val="OCJENSKIRADOVI2Podnaslovpoglavlja"/>
      <w:lvlText w:val="%1.%2."/>
      <w:lvlJc w:val="left"/>
      <w:pPr>
        <w:tabs>
          <w:tab w:val="num" w:pos="964"/>
        </w:tabs>
        <w:ind w:left="964" w:hanging="680"/>
      </w:pPr>
      <w:rPr>
        <w:rFonts w:hint="default"/>
      </w:rPr>
    </w:lvl>
    <w:lvl w:ilvl="2">
      <w:start w:val="1"/>
      <w:numFmt w:val="decimal"/>
      <w:pStyle w:val="OCJENSKIRADOVI3Podpodnaslovpoglavlja"/>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num w:numId="1">
    <w:abstractNumId w:val="7"/>
  </w:num>
  <w:num w:numId="2">
    <w:abstractNumId w:val="0"/>
  </w:num>
  <w:num w:numId="3">
    <w:abstractNumId w:val="8"/>
  </w:num>
  <w:num w:numId="4">
    <w:abstractNumId w:val="6"/>
  </w:num>
  <w:num w:numId="5">
    <w:abstractNumId w:val="4"/>
  </w:num>
  <w:num w:numId="6">
    <w:abstractNumId w:val="8"/>
  </w:num>
  <w:num w:numId="7">
    <w:abstractNumId w:val="1"/>
  </w:num>
  <w:num w:numId="8">
    <w:abstractNumId w:val="5"/>
  </w:num>
  <w:num w:numId="9">
    <w:abstractNumId w:val="3"/>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lignBordersAndEdges/>
  <w:bordersDoNotSurroundHeader/>
  <w:bordersDoNotSurroundFooter/>
  <w:hideSpellingErrors/>
  <w:proofState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0B2"/>
    <w:rsid w:val="0000068D"/>
    <w:rsid w:val="00001140"/>
    <w:rsid w:val="000016E6"/>
    <w:rsid w:val="00001826"/>
    <w:rsid w:val="00001F5C"/>
    <w:rsid w:val="000028F9"/>
    <w:rsid w:val="00003024"/>
    <w:rsid w:val="00003D1D"/>
    <w:rsid w:val="00004206"/>
    <w:rsid w:val="00004E72"/>
    <w:rsid w:val="000059D3"/>
    <w:rsid w:val="000079A1"/>
    <w:rsid w:val="00010567"/>
    <w:rsid w:val="00010671"/>
    <w:rsid w:val="00011584"/>
    <w:rsid w:val="000116BF"/>
    <w:rsid w:val="00012199"/>
    <w:rsid w:val="00012FE2"/>
    <w:rsid w:val="00013A34"/>
    <w:rsid w:val="00013B9F"/>
    <w:rsid w:val="00014AE2"/>
    <w:rsid w:val="00015087"/>
    <w:rsid w:val="000153BE"/>
    <w:rsid w:val="0001579E"/>
    <w:rsid w:val="000158C1"/>
    <w:rsid w:val="00017088"/>
    <w:rsid w:val="00020583"/>
    <w:rsid w:val="0002113C"/>
    <w:rsid w:val="0002228E"/>
    <w:rsid w:val="00022582"/>
    <w:rsid w:val="000225BA"/>
    <w:rsid w:val="00022B84"/>
    <w:rsid w:val="000230CE"/>
    <w:rsid w:val="000243A3"/>
    <w:rsid w:val="00024E6A"/>
    <w:rsid w:val="00025453"/>
    <w:rsid w:val="000257B7"/>
    <w:rsid w:val="000260CF"/>
    <w:rsid w:val="00026D5D"/>
    <w:rsid w:val="000314D7"/>
    <w:rsid w:val="00031620"/>
    <w:rsid w:val="00031A70"/>
    <w:rsid w:val="00031AD5"/>
    <w:rsid w:val="00031C8D"/>
    <w:rsid w:val="00031FC0"/>
    <w:rsid w:val="00032475"/>
    <w:rsid w:val="00032F49"/>
    <w:rsid w:val="00034478"/>
    <w:rsid w:val="00034A31"/>
    <w:rsid w:val="0003575E"/>
    <w:rsid w:val="00035AAE"/>
    <w:rsid w:val="00035BD5"/>
    <w:rsid w:val="00035C11"/>
    <w:rsid w:val="00035C47"/>
    <w:rsid w:val="00036247"/>
    <w:rsid w:val="00037376"/>
    <w:rsid w:val="00037433"/>
    <w:rsid w:val="0004045E"/>
    <w:rsid w:val="000405ED"/>
    <w:rsid w:val="00040971"/>
    <w:rsid w:val="00041202"/>
    <w:rsid w:val="00041270"/>
    <w:rsid w:val="000413DC"/>
    <w:rsid w:val="0004316F"/>
    <w:rsid w:val="00043222"/>
    <w:rsid w:val="000446A0"/>
    <w:rsid w:val="00044C34"/>
    <w:rsid w:val="0004585E"/>
    <w:rsid w:val="00045A51"/>
    <w:rsid w:val="00045B9A"/>
    <w:rsid w:val="00045F5D"/>
    <w:rsid w:val="00047D43"/>
    <w:rsid w:val="00047E55"/>
    <w:rsid w:val="000505FA"/>
    <w:rsid w:val="00050899"/>
    <w:rsid w:val="00050C16"/>
    <w:rsid w:val="00050D1D"/>
    <w:rsid w:val="00050DA7"/>
    <w:rsid w:val="000510EE"/>
    <w:rsid w:val="00051728"/>
    <w:rsid w:val="00052387"/>
    <w:rsid w:val="000523C5"/>
    <w:rsid w:val="00052D47"/>
    <w:rsid w:val="00053121"/>
    <w:rsid w:val="000531FE"/>
    <w:rsid w:val="00053E62"/>
    <w:rsid w:val="00055BFD"/>
    <w:rsid w:val="00055DB1"/>
    <w:rsid w:val="00056560"/>
    <w:rsid w:val="00057022"/>
    <w:rsid w:val="00060295"/>
    <w:rsid w:val="000603C6"/>
    <w:rsid w:val="0006073F"/>
    <w:rsid w:val="00060EB5"/>
    <w:rsid w:val="000622C1"/>
    <w:rsid w:val="000640E7"/>
    <w:rsid w:val="00064C2C"/>
    <w:rsid w:val="000659AE"/>
    <w:rsid w:val="0006616B"/>
    <w:rsid w:val="000663D7"/>
    <w:rsid w:val="000666B9"/>
    <w:rsid w:val="00067AD0"/>
    <w:rsid w:val="00070565"/>
    <w:rsid w:val="0007081E"/>
    <w:rsid w:val="00071649"/>
    <w:rsid w:val="000717E8"/>
    <w:rsid w:val="00073AB1"/>
    <w:rsid w:val="00074541"/>
    <w:rsid w:val="00075792"/>
    <w:rsid w:val="0007635F"/>
    <w:rsid w:val="0007670F"/>
    <w:rsid w:val="000771D9"/>
    <w:rsid w:val="00077A85"/>
    <w:rsid w:val="0008046E"/>
    <w:rsid w:val="00080A13"/>
    <w:rsid w:val="00081241"/>
    <w:rsid w:val="00081B81"/>
    <w:rsid w:val="00082E76"/>
    <w:rsid w:val="00083526"/>
    <w:rsid w:val="0008490E"/>
    <w:rsid w:val="00085013"/>
    <w:rsid w:val="00085C7C"/>
    <w:rsid w:val="0008725E"/>
    <w:rsid w:val="000901A7"/>
    <w:rsid w:val="00091973"/>
    <w:rsid w:val="000926C5"/>
    <w:rsid w:val="0009307D"/>
    <w:rsid w:val="0009394D"/>
    <w:rsid w:val="00093F75"/>
    <w:rsid w:val="00094480"/>
    <w:rsid w:val="00094FF4"/>
    <w:rsid w:val="00095E32"/>
    <w:rsid w:val="000967AD"/>
    <w:rsid w:val="00097712"/>
    <w:rsid w:val="000A0209"/>
    <w:rsid w:val="000A025F"/>
    <w:rsid w:val="000A051B"/>
    <w:rsid w:val="000A09AC"/>
    <w:rsid w:val="000A0FDD"/>
    <w:rsid w:val="000A2780"/>
    <w:rsid w:val="000A366F"/>
    <w:rsid w:val="000A3D8A"/>
    <w:rsid w:val="000A4108"/>
    <w:rsid w:val="000A452A"/>
    <w:rsid w:val="000A54A8"/>
    <w:rsid w:val="000A67A3"/>
    <w:rsid w:val="000A6AED"/>
    <w:rsid w:val="000A6DA3"/>
    <w:rsid w:val="000A7D1D"/>
    <w:rsid w:val="000B01C8"/>
    <w:rsid w:val="000B0A6D"/>
    <w:rsid w:val="000B0AF7"/>
    <w:rsid w:val="000B0EE0"/>
    <w:rsid w:val="000B1871"/>
    <w:rsid w:val="000B2C56"/>
    <w:rsid w:val="000B3A7A"/>
    <w:rsid w:val="000B3A7B"/>
    <w:rsid w:val="000B4AD0"/>
    <w:rsid w:val="000B5D0E"/>
    <w:rsid w:val="000B69A4"/>
    <w:rsid w:val="000B7874"/>
    <w:rsid w:val="000B7C9B"/>
    <w:rsid w:val="000C0323"/>
    <w:rsid w:val="000C06FF"/>
    <w:rsid w:val="000C0C11"/>
    <w:rsid w:val="000C15E1"/>
    <w:rsid w:val="000C16C6"/>
    <w:rsid w:val="000C170D"/>
    <w:rsid w:val="000C175A"/>
    <w:rsid w:val="000C25DE"/>
    <w:rsid w:val="000C5F5D"/>
    <w:rsid w:val="000C6937"/>
    <w:rsid w:val="000C6CED"/>
    <w:rsid w:val="000C6F86"/>
    <w:rsid w:val="000C7199"/>
    <w:rsid w:val="000C7817"/>
    <w:rsid w:val="000D0533"/>
    <w:rsid w:val="000D1039"/>
    <w:rsid w:val="000D1D22"/>
    <w:rsid w:val="000D2C62"/>
    <w:rsid w:val="000D39C7"/>
    <w:rsid w:val="000D45A0"/>
    <w:rsid w:val="000D5F0E"/>
    <w:rsid w:val="000D5F9C"/>
    <w:rsid w:val="000D6A67"/>
    <w:rsid w:val="000D6F61"/>
    <w:rsid w:val="000D76A4"/>
    <w:rsid w:val="000D7911"/>
    <w:rsid w:val="000E00CC"/>
    <w:rsid w:val="000E08FA"/>
    <w:rsid w:val="000E2527"/>
    <w:rsid w:val="000E2BEF"/>
    <w:rsid w:val="000E2E8D"/>
    <w:rsid w:val="000E3A9B"/>
    <w:rsid w:val="000E3C21"/>
    <w:rsid w:val="000E49D1"/>
    <w:rsid w:val="000E60E5"/>
    <w:rsid w:val="000E62DC"/>
    <w:rsid w:val="000E6C58"/>
    <w:rsid w:val="000E6E85"/>
    <w:rsid w:val="000E7831"/>
    <w:rsid w:val="000E7F3E"/>
    <w:rsid w:val="000F08C6"/>
    <w:rsid w:val="000F2FDA"/>
    <w:rsid w:val="000F348E"/>
    <w:rsid w:val="000F49D8"/>
    <w:rsid w:val="000F52EA"/>
    <w:rsid w:val="000F55A9"/>
    <w:rsid w:val="000F7126"/>
    <w:rsid w:val="001005A5"/>
    <w:rsid w:val="00100621"/>
    <w:rsid w:val="0010066C"/>
    <w:rsid w:val="0010070A"/>
    <w:rsid w:val="00102E3B"/>
    <w:rsid w:val="001036E1"/>
    <w:rsid w:val="0010465C"/>
    <w:rsid w:val="00104A9C"/>
    <w:rsid w:val="00105581"/>
    <w:rsid w:val="00105694"/>
    <w:rsid w:val="0010712A"/>
    <w:rsid w:val="0010722B"/>
    <w:rsid w:val="0010737A"/>
    <w:rsid w:val="00107997"/>
    <w:rsid w:val="00107E00"/>
    <w:rsid w:val="00110020"/>
    <w:rsid w:val="0011034D"/>
    <w:rsid w:val="00110513"/>
    <w:rsid w:val="00111A50"/>
    <w:rsid w:val="00111C8F"/>
    <w:rsid w:val="00113190"/>
    <w:rsid w:val="00113F33"/>
    <w:rsid w:val="00114144"/>
    <w:rsid w:val="00114E64"/>
    <w:rsid w:val="00115257"/>
    <w:rsid w:val="00115F45"/>
    <w:rsid w:val="001160F8"/>
    <w:rsid w:val="00116FEE"/>
    <w:rsid w:val="00117700"/>
    <w:rsid w:val="0011771B"/>
    <w:rsid w:val="001179AC"/>
    <w:rsid w:val="001201C1"/>
    <w:rsid w:val="001202C3"/>
    <w:rsid w:val="00120AB1"/>
    <w:rsid w:val="00121941"/>
    <w:rsid w:val="001234B7"/>
    <w:rsid w:val="00123856"/>
    <w:rsid w:val="00124243"/>
    <w:rsid w:val="001242D0"/>
    <w:rsid w:val="00124E38"/>
    <w:rsid w:val="001257F1"/>
    <w:rsid w:val="001266A7"/>
    <w:rsid w:val="00126A62"/>
    <w:rsid w:val="00127888"/>
    <w:rsid w:val="00127DD2"/>
    <w:rsid w:val="00130BD8"/>
    <w:rsid w:val="001315FB"/>
    <w:rsid w:val="00131854"/>
    <w:rsid w:val="001336B1"/>
    <w:rsid w:val="0013396E"/>
    <w:rsid w:val="001345FE"/>
    <w:rsid w:val="0013496E"/>
    <w:rsid w:val="00135431"/>
    <w:rsid w:val="00135809"/>
    <w:rsid w:val="00135AE6"/>
    <w:rsid w:val="001403AA"/>
    <w:rsid w:val="001408BD"/>
    <w:rsid w:val="00140F3A"/>
    <w:rsid w:val="00141991"/>
    <w:rsid w:val="00141DC9"/>
    <w:rsid w:val="00142971"/>
    <w:rsid w:val="001433BF"/>
    <w:rsid w:val="00143B40"/>
    <w:rsid w:val="001475B3"/>
    <w:rsid w:val="00147800"/>
    <w:rsid w:val="0014784A"/>
    <w:rsid w:val="0015010F"/>
    <w:rsid w:val="00150D60"/>
    <w:rsid w:val="00151040"/>
    <w:rsid w:val="00152113"/>
    <w:rsid w:val="001524F8"/>
    <w:rsid w:val="001530D9"/>
    <w:rsid w:val="001558DB"/>
    <w:rsid w:val="0015657C"/>
    <w:rsid w:val="001565B6"/>
    <w:rsid w:val="00156FEF"/>
    <w:rsid w:val="00157A7F"/>
    <w:rsid w:val="00161AC9"/>
    <w:rsid w:val="001628A7"/>
    <w:rsid w:val="00162C45"/>
    <w:rsid w:val="0016300E"/>
    <w:rsid w:val="00163A4F"/>
    <w:rsid w:val="00163F1C"/>
    <w:rsid w:val="00163F41"/>
    <w:rsid w:val="001648B5"/>
    <w:rsid w:val="00164A55"/>
    <w:rsid w:val="00164D2E"/>
    <w:rsid w:val="00165AAB"/>
    <w:rsid w:val="00165DD2"/>
    <w:rsid w:val="0016622C"/>
    <w:rsid w:val="00167C97"/>
    <w:rsid w:val="00167FEB"/>
    <w:rsid w:val="001705C8"/>
    <w:rsid w:val="001705EF"/>
    <w:rsid w:val="0017067D"/>
    <w:rsid w:val="001706B4"/>
    <w:rsid w:val="00170889"/>
    <w:rsid w:val="00170B2C"/>
    <w:rsid w:val="00171381"/>
    <w:rsid w:val="00171A55"/>
    <w:rsid w:val="00171E1F"/>
    <w:rsid w:val="00172000"/>
    <w:rsid w:val="0017207E"/>
    <w:rsid w:val="001725EC"/>
    <w:rsid w:val="00173E58"/>
    <w:rsid w:val="0017406D"/>
    <w:rsid w:val="00174D55"/>
    <w:rsid w:val="00175633"/>
    <w:rsid w:val="00175D98"/>
    <w:rsid w:val="00176222"/>
    <w:rsid w:val="001767A4"/>
    <w:rsid w:val="00176E64"/>
    <w:rsid w:val="00177094"/>
    <w:rsid w:val="001771F9"/>
    <w:rsid w:val="00180148"/>
    <w:rsid w:val="0018084D"/>
    <w:rsid w:val="001809F1"/>
    <w:rsid w:val="00182924"/>
    <w:rsid w:val="00183415"/>
    <w:rsid w:val="001847C4"/>
    <w:rsid w:val="00186036"/>
    <w:rsid w:val="001862E6"/>
    <w:rsid w:val="00186945"/>
    <w:rsid w:val="00190BBD"/>
    <w:rsid w:val="0019126B"/>
    <w:rsid w:val="001916FA"/>
    <w:rsid w:val="00193C88"/>
    <w:rsid w:val="00194B8A"/>
    <w:rsid w:val="00195AED"/>
    <w:rsid w:val="0019787D"/>
    <w:rsid w:val="001A0ED1"/>
    <w:rsid w:val="001A1163"/>
    <w:rsid w:val="001A1261"/>
    <w:rsid w:val="001A2C6B"/>
    <w:rsid w:val="001A2EF8"/>
    <w:rsid w:val="001A3B66"/>
    <w:rsid w:val="001A6751"/>
    <w:rsid w:val="001A6C88"/>
    <w:rsid w:val="001A7952"/>
    <w:rsid w:val="001B0A8D"/>
    <w:rsid w:val="001B1961"/>
    <w:rsid w:val="001B26CD"/>
    <w:rsid w:val="001B2FD6"/>
    <w:rsid w:val="001B364B"/>
    <w:rsid w:val="001B3CB5"/>
    <w:rsid w:val="001B45D9"/>
    <w:rsid w:val="001B47F4"/>
    <w:rsid w:val="001B4907"/>
    <w:rsid w:val="001B4FA6"/>
    <w:rsid w:val="001B582C"/>
    <w:rsid w:val="001B5EFC"/>
    <w:rsid w:val="001B6C2C"/>
    <w:rsid w:val="001B6E1D"/>
    <w:rsid w:val="001B7C8A"/>
    <w:rsid w:val="001C0A90"/>
    <w:rsid w:val="001C0C0B"/>
    <w:rsid w:val="001C11DC"/>
    <w:rsid w:val="001C1954"/>
    <w:rsid w:val="001C2086"/>
    <w:rsid w:val="001C29A5"/>
    <w:rsid w:val="001C2EA2"/>
    <w:rsid w:val="001C31BB"/>
    <w:rsid w:val="001C49F3"/>
    <w:rsid w:val="001C4D0B"/>
    <w:rsid w:val="001C54AB"/>
    <w:rsid w:val="001C5C89"/>
    <w:rsid w:val="001C6639"/>
    <w:rsid w:val="001C66FA"/>
    <w:rsid w:val="001C6CE0"/>
    <w:rsid w:val="001D0654"/>
    <w:rsid w:val="001D12FB"/>
    <w:rsid w:val="001D1D0D"/>
    <w:rsid w:val="001D2D60"/>
    <w:rsid w:val="001D2FA9"/>
    <w:rsid w:val="001D3CBA"/>
    <w:rsid w:val="001D4FC7"/>
    <w:rsid w:val="001D74CF"/>
    <w:rsid w:val="001E012C"/>
    <w:rsid w:val="001E2268"/>
    <w:rsid w:val="001E3BF7"/>
    <w:rsid w:val="001E3FD6"/>
    <w:rsid w:val="001E477B"/>
    <w:rsid w:val="001E5414"/>
    <w:rsid w:val="001E550E"/>
    <w:rsid w:val="001E5843"/>
    <w:rsid w:val="001E6339"/>
    <w:rsid w:val="001E6A21"/>
    <w:rsid w:val="001E70F5"/>
    <w:rsid w:val="001E79DE"/>
    <w:rsid w:val="001E7C2D"/>
    <w:rsid w:val="001F01CE"/>
    <w:rsid w:val="001F0796"/>
    <w:rsid w:val="001F0BE9"/>
    <w:rsid w:val="001F0EBE"/>
    <w:rsid w:val="001F2710"/>
    <w:rsid w:val="001F4680"/>
    <w:rsid w:val="001F49E8"/>
    <w:rsid w:val="001F5DD8"/>
    <w:rsid w:val="001F6995"/>
    <w:rsid w:val="001F6B89"/>
    <w:rsid w:val="001F6B9C"/>
    <w:rsid w:val="001F728C"/>
    <w:rsid w:val="001F77D7"/>
    <w:rsid w:val="001F7854"/>
    <w:rsid w:val="0020025F"/>
    <w:rsid w:val="002002D9"/>
    <w:rsid w:val="00200CD9"/>
    <w:rsid w:val="0020215D"/>
    <w:rsid w:val="0020256F"/>
    <w:rsid w:val="00202633"/>
    <w:rsid w:val="00204399"/>
    <w:rsid w:val="002052F3"/>
    <w:rsid w:val="00206DAC"/>
    <w:rsid w:val="0020723C"/>
    <w:rsid w:val="00210410"/>
    <w:rsid w:val="00210DAF"/>
    <w:rsid w:val="002123EA"/>
    <w:rsid w:val="00213B47"/>
    <w:rsid w:val="00213B52"/>
    <w:rsid w:val="00215CC0"/>
    <w:rsid w:val="00217476"/>
    <w:rsid w:val="00217B5D"/>
    <w:rsid w:val="00220590"/>
    <w:rsid w:val="0022071A"/>
    <w:rsid w:val="00220AF1"/>
    <w:rsid w:val="00221041"/>
    <w:rsid w:val="00222D15"/>
    <w:rsid w:val="00223B46"/>
    <w:rsid w:val="002246CF"/>
    <w:rsid w:val="0022632F"/>
    <w:rsid w:val="00226559"/>
    <w:rsid w:val="00227101"/>
    <w:rsid w:val="00227A63"/>
    <w:rsid w:val="002309A9"/>
    <w:rsid w:val="00230C04"/>
    <w:rsid w:val="00230CA5"/>
    <w:rsid w:val="00230CAC"/>
    <w:rsid w:val="00230E78"/>
    <w:rsid w:val="002310AA"/>
    <w:rsid w:val="002317DA"/>
    <w:rsid w:val="00232231"/>
    <w:rsid w:val="00233689"/>
    <w:rsid w:val="00233E08"/>
    <w:rsid w:val="00233EBB"/>
    <w:rsid w:val="00233F8C"/>
    <w:rsid w:val="0023583E"/>
    <w:rsid w:val="002365BE"/>
    <w:rsid w:val="00237026"/>
    <w:rsid w:val="0023757B"/>
    <w:rsid w:val="00237B48"/>
    <w:rsid w:val="002405CB"/>
    <w:rsid w:val="002418F1"/>
    <w:rsid w:val="002419EB"/>
    <w:rsid w:val="00241D53"/>
    <w:rsid w:val="0024360B"/>
    <w:rsid w:val="00243E86"/>
    <w:rsid w:val="002443E5"/>
    <w:rsid w:val="00244FE6"/>
    <w:rsid w:val="00245936"/>
    <w:rsid w:val="00245B76"/>
    <w:rsid w:val="00245CF4"/>
    <w:rsid w:val="00246969"/>
    <w:rsid w:val="0024731A"/>
    <w:rsid w:val="00251193"/>
    <w:rsid w:val="0025199E"/>
    <w:rsid w:val="00252A4D"/>
    <w:rsid w:val="0025364E"/>
    <w:rsid w:val="00254C14"/>
    <w:rsid w:val="00256CE8"/>
    <w:rsid w:val="00257053"/>
    <w:rsid w:val="00257222"/>
    <w:rsid w:val="0026004A"/>
    <w:rsid w:val="0026019C"/>
    <w:rsid w:val="00261A15"/>
    <w:rsid w:val="00262CA3"/>
    <w:rsid w:val="00262FBC"/>
    <w:rsid w:val="00263AA0"/>
    <w:rsid w:val="00265509"/>
    <w:rsid w:val="00265879"/>
    <w:rsid w:val="00266C83"/>
    <w:rsid w:val="00266DFB"/>
    <w:rsid w:val="00267DAB"/>
    <w:rsid w:val="00270DB0"/>
    <w:rsid w:val="002724A4"/>
    <w:rsid w:val="00272758"/>
    <w:rsid w:val="002736DB"/>
    <w:rsid w:val="0027468E"/>
    <w:rsid w:val="00274D02"/>
    <w:rsid w:val="0027505B"/>
    <w:rsid w:val="00275BE4"/>
    <w:rsid w:val="00277154"/>
    <w:rsid w:val="00280234"/>
    <w:rsid w:val="0028024B"/>
    <w:rsid w:val="0028109B"/>
    <w:rsid w:val="00281922"/>
    <w:rsid w:val="00281DA7"/>
    <w:rsid w:val="00282270"/>
    <w:rsid w:val="0028246C"/>
    <w:rsid w:val="00282CDC"/>
    <w:rsid w:val="0028328E"/>
    <w:rsid w:val="002835B1"/>
    <w:rsid w:val="002836B0"/>
    <w:rsid w:val="00283EE4"/>
    <w:rsid w:val="00284053"/>
    <w:rsid w:val="0028457F"/>
    <w:rsid w:val="002850B4"/>
    <w:rsid w:val="00285CEB"/>
    <w:rsid w:val="00285E8C"/>
    <w:rsid w:val="00290097"/>
    <w:rsid w:val="00290F86"/>
    <w:rsid w:val="00291CF5"/>
    <w:rsid w:val="0029298F"/>
    <w:rsid w:val="00292E95"/>
    <w:rsid w:val="00292EC9"/>
    <w:rsid w:val="00293342"/>
    <w:rsid w:val="00293909"/>
    <w:rsid w:val="002940CB"/>
    <w:rsid w:val="002949D6"/>
    <w:rsid w:val="00294BFB"/>
    <w:rsid w:val="00294C0F"/>
    <w:rsid w:val="00294CE7"/>
    <w:rsid w:val="00294FFA"/>
    <w:rsid w:val="0029513C"/>
    <w:rsid w:val="0029523B"/>
    <w:rsid w:val="00295879"/>
    <w:rsid w:val="00295A73"/>
    <w:rsid w:val="002966F4"/>
    <w:rsid w:val="0029723E"/>
    <w:rsid w:val="002975FB"/>
    <w:rsid w:val="00297F67"/>
    <w:rsid w:val="002A0CDE"/>
    <w:rsid w:val="002A2319"/>
    <w:rsid w:val="002A3232"/>
    <w:rsid w:val="002A3875"/>
    <w:rsid w:val="002A3F9A"/>
    <w:rsid w:val="002A599B"/>
    <w:rsid w:val="002A5B33"/>
    <w:rsid w:val="002A72B3"/>
    <w:rsid w:val="002A7713"/>
    <w:rsid w:val="002A7B7C"/>
    <w:rsid w:val="002B0325"/>
    <w:rsid w:val="002B1CD8"/>
    <w:rsid w:val="002B1D49"/>
    <w:rsid w:val="002B2205"/>
    <w:rsid w:val="002B2879"/>
    <w:rsid w:val="002B3289"/>
    <w:rsid w:val="002B5265"/>
    <w:rsid w:val="002B5405"/>
    <w:rsid w:val="002B5C5F"/>
    <w:rsid w:val="002B67F1"/>
    <w:rsid w:val="002B6B88"/>
    <w:rsid w:val="002C0AD9"/>
    <w:rsid w:val="002C0B3E"/>
    <w:rsid w:val="002C1092"/>
    <w:rsid w:val="002C16A6"/>
    <w:rsid w:val="002C21A5"/>
    <w:rsid w:val="002C2922"/>
    <w:rsid w:val="002C29A5"/>
    <w:rsid w:val="002C2E37"/>
    <w:rsid w:val="002C3A24"/>
    <w:rsid w:val="002C3C71"/>
    <w:rsid w:val="002C49FB"/>
    <w:rsid w:val="002C52D8"/>
    <w:rsid w:val="002C53A6"/>
    <w:rsid w:val="002C6F53"/>
    <w:rsid w:val="002C7750"/>
    <w:rsid w:val="002D27CB"/>
    <w:rsid w:val="002D333E"/>
    <w:rsid w:val="002D3405"/>
    <w:rsid w:val="002D421D"/>
    <w:rsid w:val="002D466E"/>
    <w:rsid w:val="002D4795"/>
    <w:rsid w:val="002D511E"/>
    <w:rsid w:val="002D52D0"/>
    <w:rsid w:val="002D5CA4"/>
    <w:rsid w:val="002D5CDB"/>
    <w:rsid w:val="002D673D"/>
    <w:rsid w:val="002D7735"/>
    <w:rsid w:val="002D796B"/>
    <w:rsid w:val="002E086F"/>
    <w:rsid w:val="002E0D31"/>
    <w:rsid w:val="002E0F18"/>
    <w:rsid w:val="002E1453"/>
    <w:rsid w:val="002E14FA"/>
    <w:rsid w:val="002E1729"/>
    <w:rsid w:val="002E1C59"/>
    <w:rsid w:val="002E3509"/>
    <w:rsid w:val="002E446D"/>
    <w:rsid w:val="002E4E80"/>
    <w:rsid w:val="002E51C8"/>
    <w:rsid w:val="002E540C"/>
    <w:rsid w:val="002E56C8"/>
    <w:rsid w:val="002E7011"/>
    <w:rsid w:val="002E71F5"/>
    <w:rsid w:val="002F02BB"/>
    <w:rsid w:val="002F1753"/>
    <w:rsid w:val="002F1F26"/>
    <w:rsid w:val="002F20AC"/>
    <w:rsid w:val="002F213F"/>
    <w:rsid w:val="002F277D"/>
    <w:rsid w:val="002F319B"/>
    <w:rsid w:val="002F5D26"/>
    <w:rsid w:val="002F6FC5"/>
    <w:rsid w:val="00301C67"/>
    <w:rsid w:val="003039D2"/>
    <w:rsid w:val="00303BE6"/>
    <w:rsid w:val="003040DE"/>
    <w:rsid w:val="0030436D"/>
    <w:rsid w:val="003050E4"/>
    <w:rsid w:val="00305FAB"/>
    <w:rsid w:val="00306187"/>
    <w:rsid w:val="00306644"/>
    <w:rsid w:val="0030780B"/>
    <w:rsid w:val="003109CB"/>
    <w:rsid w:val="00310E84"/>
    <w:rsid w:val="00311F91"/>
    <w:rsid w:val="003132F0"/>
    <w:rsid w:val="003135A3"/>
    <w:rsid w:val="00313A9F"/>
    <w:rsid w:val="003142CF"/>
    <w:rsid w:val="00320463"/>
    <w:rsid w:val="00321C89"/>
    <w:rsid w:val="00321E2B"/>
    <w:rsid w:val="003220DC"/>
    <w:rsid w:val="00322EB4"/>
    <w:rsid w:val="0032322F"/>
    <w:rsid w:val="00323FD6"/>
    <w:rsid w:val="003246D1"/>
    <w:rsid w:val="00324A1D"/>
    <w:rsid w:val="00327474"/>
    <w:rsid w:val="00327BEB"/>
    <w:rsid w:val="003306E6"/>
    <w:rsid w:val="00331170"/>
    <w:rsid w:val="003315F3"/>
    <w:rsid w:val="00331BE4"/>
    <w:rsid w:val="003324BC"/>
    <w:rsid w:val="00332C4E"/>
    <w:rsid w:val="00333090"/>
    <w:rsid w:val="00333744"/>
    <w:rsid w:val="003339A6"/>
    <w:rsid w:val="0033419F"/>
    <w:rsid w:val="00334578"/>
    <w:rsid w:val="0033497A"/>
    <w:rsid w:val="00334CAD"/>
    <w:rsid w:val="00334E6C"/>
    <w:rsid w:val="00335144"/>
    <w:rsid w:val="003358E8"/>
    <w:rsid w:val="003361A3"/>
    <w:rsid w:val="00336A1A"/>
    <w:rsid w:val="0033734C"/>
    <w:rsid w:val="003401FC"/>
    <w:rsid w:val="00340201"/>
    <w:rsid w:val="003406BF"/>
    <w:rsid w:val="00340A0E"/>
    <w:rsid w:val="00341C3E"/>
    <w:rsid w:val="0034217B"/>
    <w:rsid w:val="0034286F"/>
    <w:rsid w:val="0034357C"/>
    <w:rsid w:val="00343FF1"/>
    <w:rsid w:val="003454F3"/>
    <w:rsid w:val="00346792"/>
    <w:rsid w:val="003468E7"/>
    <w:rsid w:val="0034757E"/>
    <w:rsid w:val="003502E9"/>
    <w:rsid w:val="0035145E"/>
    <w:rsid w:val="003528DF"/>
    <w:rsid w:val="003529B8"/>
    <w:rsid w:val="003530D9"/>
    <w:rsid w:val="00353419"/>
    <w:rsid w:val="003548AC"/>
    <w:rsid w:val="00354F25"/>
    <w:rsid w:val="0036047E"/>
    <w:rsid w:val="00360F0B"/>
    <w:rsid w:val="003617EE"/>
    <w:rsid w:val="00361BCA"/>
    <w:rsid w:val="00362446"/>
    <w:rsid w:val="003627A0"/>
    <w:rsid w:val="003629D0"/>
    <w:rsid w:val="00362A82"/>
    <w:rsid w:val="0036397F"/>
    <w:rsid w:val="00365066"/>
    <w:rsid w:val="00365EFB"/>
    <w:rsid w:val="00366031"/>
    <w:rsid w:val="0036718B"/>
    <w:rsid w:val="003671C0"/>
    <w:rsid w:val="003712B7"/>
    <w:rsid w:val="00371424"/>
    <w:rsid w:val="0037148F"/>
    <w:rsid w:val="00371E63"/>
    <w:rsid w:val="00372501"/>
    <w:rsid w:val="003735C7"/>
    <w:rsid w:val="003741D6"/>
    <w:rsid w:val="003742EB"/>
    <w:rsid w:val="0037538B"/>
    <w:rsid w:val="00375667"/>
    <w:rsid w:val="003769A0"/>
    <w:rsid w:val="00377546"/>
    <w:rsid w:val="003776F0"/>
    <w:rsid w:val="00380ABF"/>
    <w:rsid w:val="00381DA5"/>
    <w:rsid w:val="003830D8"/>
    <w:rsid w:val="00383D9B"/>
    <w:rsid w:val="00385228"/>
    <w:rsid w:val="00386523"/>
    <w:rsid w:val="00386657"/>
    <w:rsid w:val="00387656"/>
    <w:rsid w:val="00387B1B"/>
    <w:rsid w:val="00387E4C"/>
    <w:rsid w:val="00390089"/>
    <w:rsid w:val="00391AA9"/>
    <w:rsid w:val="00391AF0"/>
    <w:rsid w:val="00391F4B"/>
    <w:rsid w:val="00392EF2"/>
    <w:rsid w:val="003932FA"/>
    <w:rsid w:val="003946DF"/>
    <w:rsid w:val="00395D83"/>
    <w:rsid w:val="00395F4B"/>
    <w:rsid w:val="00396AB6"/>
    <w:rsid w:val="00397D66"/>
    <w:rsid w:val="003A1EF3"/>
    <w:rsid w:val="003A23FD"/>
    <w:rsid w:val="003A2B96"/>
    <w:rsid w:val="003A6703"/>
    <w:rsid w:val="003A67FA"/>
    <w:rsid w:val="003A6841"/>
    <w:rsid w:val="003A68D9"/>
    <w:rsid w:val="003A76D4"/>
    <w:rsid w:val="003A7960"/>
    <w:rsid w:val="003A7B87"/>
    <w:rsid w:val="003B0167"/>
    <w:rsid w:val="003B06E3"/>
    <w:rsid w:val="003B06FD"/>
    <w:rsid w:val="003B077E"/>
    <w:rsid w:val="003B0A0A"/>
    <w:rsid w:val="003B1646"/>
    <w:rsid w:val="003B344D"/>
    <w:rsid w:val="003B4B3E"/>
    <w:rsid w:val="003B4CF1"/>
    <w:rsid w:val="003B53A6"/>
    <w:rsid w:val="003B5651"/>
    <w:rsid w:val="003B56DD"/>
    <w:rsid w:val="003B6079"/>
    <w:rsid w:val="003B617D"/>
    <w:rsid w:val="003B6928"/>
    <w:rsid w:val="003B71DF"/>
    <w:rsid w:val="003B742B"/>
    <w:rsid w:val="003B7870"/>
    <w:rsid w:val="003C01BA"/>
    <w:rsid w:val="003C05CF"/>
    <w:rsid w:val="003C13A3"/>
    <w:rsid w:val="003C1585"/>
    <w:rsid w:val="003C1A42"/>
    <w:rsid w:val="003C1C93"/>
    <w:rsid w:val="003C27E3"/>
    <w:rsid w:val="003C2BF4"/>
    <w:rsid w:val="003C3414"/>
    <w:rsid w:val="003C4A44"/>
    <w:rsid w:val="003C611C"/>
    <w:rsid w:val="003C6ABE"/>
    <w:rsid w:val="003C7017"/>
    <w:rsid w:val="003C75E8"/>
    <w:rsid w:val="003D0D3B"/>
    <w:rsid w:val="003D1C90"/>
    <w:rsid w:val="003D2EA2"/>
    <w:rsid w:val="003D3FB8"/>
    <w:rsid w:val="003D4AF6"/>
    <w:rsid w:val="003D4CF1"/>
    <w:rsid w:val="003D5726"/>
    <w:rsid w:val="003D59D2"/>
    <w:rsid w:val="003D667E"/>
    <w:rsid w:val="003D6F32"/>
    <w:rsid w:val="003E21EB"/>
    <w:rsid w:val="003E29CE"/>
    <w:rsid w:val="003E35CE"/>
    <w:rsid w:val="003E6A5D"/>
    <w:rsid w:val="003E7B0C"/>
    <w:rsid w:val="003F1372"/>
    <w:rsid w:val="003F1476"/>
    <w:rsid w:val="003F1FFC"/>
    <w:rsid w:val="003F20FF"/>
    <w:rsid w:val="003F2C9C"/>
    <w:rsid w:val="003F4285"/>
    <w:rsid w:val="003F4325"/>
    <w:rsid w:val="003F4C78"/>
    <w:rsid w:val="003F4D05"/>
    <w:rsid w:val="003F5155"/>
    <w:rsid w:val="003F51DD"/>
    <w:rsid w:val="003F5F28"/>
    <w:rsid w:val="003F7CE7"/>
    <w:rsid w:val="00400537"/>
    <w:rsid w:val="00400676"/>
    <w:rsid w:val="00400E84"/>
    <w:rsid w:val="00401223"/>
    <w:rsid w:val="00401739"/>
    <w:rsid w:val="0040257C"/>
    <w:rsid w:val="00402C1A"/>
    <w:rsid w:val="00403B02"/>
    <w:rsid w:val="00405C3C"/>
    <w:rsid w:val="0040757C"/>
    <w:rsid w:val="00407A94"/>
    <w:rsid w:val="00407B4C"/>
    <w:rsid w:val="00411335"/>
    <w:rsid w:val="004122E7"/>
    <w:rsid w:val="00412ED3"/>
    <w:rsid w:val="0041355F"/>
    <w:rsid w:val="00414FFB"/>
    <w:rsid w:val="0041563A"/>
    <w:rsid w:val="00416C11"/>
    <w:rsid w:val="00417A1A"/>
    <w:rsid w:val="00421DB1"/>
    <w:rsid w:val="00422186"/>
    <w:rsid w:val="00422C66"/>
    <w:rsid w:val="0042311A"/>
    <w:rsid w:val="00423433"/>
    <w:rsid w:val="0042369E"/>
    <w:rsid w:val="00423D5C"/>
    <w:rsid w:val="0042425C"/>
    <w:rsid w:val="00424536"/>
    <w:rsid w:val="0042476F"/>
    <w:rsid w:val="00425C51"/>
    <w:rsid w:val="00425E0D"/>
    <w:rsid w:val="00426084"/>
    <w:rsid w:val="0042622D"/>
    <w:rsid w:val="00426634"/>
    <w:rsid w:val="00426BD1"/>
    <w:rsid w:val="00427CB2"/>
    <w:rsid w:val="00427CB6"/>
    <w:rsid w:val="00427D2C"/>
    <w:rsid w:val="00427F3A"/>
    <w:rsid w:val="004306BD"/>
    <w:rsid w:val="00430CF0"/>
    <w:rsid w:val="0043171D"/>
    <w:rsid w:val="00431E60"/>
    <w:rsid w:val="00432434"/>
    <w:rsid w:val="00433E37"/>
    <w:rsid w:val="0043584E"/>
    <w:rsid w:val="00435B9E"/>
    <w:rsid w:val="0043606F"/>
    <w:rsid w:val="00436660"/>
    <w:rsid w:val="00436DB2"/>
    <w:rsid w:val="00437A21"/>
    <w:rsid w:val="00441D10"/>
    <w:rsid w:val="0044240A"/>
    <w:rsid w:val="00444DE4"/>
    <w:rsid w:val="00444EDB"/>
    <w:rsid w:val="0044719B"/>
    <w:rsid w:val="00447416"/>
    <w:rsid w:val="0044787E"/>
    <w:rsid w:val="00447E42"/>
    <w:rsid w:val="00451109"/>
    <w:rsid w:val="004517EF"/>
    <w:rsid w:val="004520DD"/>
    <w:rsid w:val="0045239D"/>
    <w:rsid w:val="00453124"/>
    <w:rsid w:val="0045316F"/>
    <w:rsid w:val="004531BD"/>
    <w:rsid w:val="004536B0"/>
    <w:rsid w:val="00454B0C"/>
    <w:rsid w:val="004558CB"/>
    <w:rsid w:val="00455976"/>
    <w:rsid w:val="00455EBB"/>
    <w:rsid w:val="00456380"/>
    <w:rsid w:val="00457339"/>
    <w:rsid w:val="00457668"/>
    <w:rsid w:val="004576E4"/>
    <w:rsid w:val="004601C6"/>
    <w:rsid w:val="00460A39"/>
    <w:rsid w:val="0046112D"/>
    <w:rsid w:val="00461367"/>
    <w:rsid w:val="004623FD"/>
    <w:rsid w:val="004629DF"/>
    <w:rsid w:val="00462C99"/>
    <w:rsid w:val="004640E8"/>
    <w:rsid w:val="00464500"/>
    <w:rsid w:val="004648CD"/>
    <w:rsid w:val="004649A3"/>
    <w:rsid w:val="00466784"/>
    <w:rsid w:val="00466C5F"/>
    <w:rsid w:val="00467A56"/>
    <w:rsid w:val="004709B0"/>
    <w:rsid w:val="00470B26"/>
    <w:rsid w:val="004711A8"/>
    <w:rsid w:val="00471EAF"/>
    <w:rsid w:val="00472828"/>
    <w:rsid w:val="0047338D"/>
    <w:rsid w:val="004735C8"/>
    <w:rsid w:val="00474CC4"/>
    <w:rsid w:val="00474D5D"/>
    <w:rsid w:val="0047649D"/>
    <w:rsid w:val="004765AC"/>
    <w:rsid w:val="00476913"/>
    <w:rsid w:val="0047729C"/>
    <w:rsid w:val="0047736F"/>
    <w:rsid w:val="00477B61"/>
    <w:rsid w:val="0048050F"/>
    <w:rsid w:val="00480C22"/>
    <w:rsid w:val="00480E50"/>
    <w:rsid w:val="0048626B"/>
    <w:rsid w:val="004865F9"/>
    <w:rsid w:val="004866D1"/>
    <w:rsid w:val="00487C02"/>
    <w:rsid w:val="00487CA0"/>
    <w:rsid w:val="00490B93"/>
    <w:rsid w:val="00491901"/>
    <w:rsid w:val="00492078"/>
    <w:rsid w:val="004920FE"/>
    <w:rsid w:val="00492C1E"/>
    <w:rsid w:val="00493317"/>
    <w:rsid w:val="0049344D"/>
    <w:rsid w:val="004936E6"/>
    <w:rsid w:val="00493A86"/>
    <w:rsid w:val="00494B62"/>
    <w:rsid w:val="004952DD"/>
    <w:rsid w:val="00495328"/>
    <w:rsid w:val="00495CAE"/>
    <w:rsid w:val="00495EBD"/>
    <w:rsid w:val="00496A2F"/>
    <w:rsid w:val="004970F8"/>
    <w:rsid w:val="00497BC1"/>
    <w:rsid w:val="004A0303"/>
    <w:rsid w:val="004A065D"/>
    <w:rsid w:val="004A0AD9"/>
    <w:rsid w:val="004A0FED"/>
    <w:rsid w:val="004A1004"/>
    <w:rsid w:val="004A17C9"/>
    <w:rsid w:val="004A19BF"/>
    <w:rsid w:val="004A4C0F"/>
    <w:rsid w:val="004A535D"/>
    <w:rsid w:val="004A5C67"/>
    <w:rsid w:val="004B0E7D"/>
    <w:rsid w:val="004B16B1"/>
    <w:rsid w:val="004B1B16"/>
    <w:rsid w:val="004B1BF0"/>
    <w:rsid w:val="004B2F85"/>
    <w:rsid w:val="004B35DA"/>
    <w:rsid w:val="004B450C"/>
    <w:rsid w:val="004B633D"/>
    <w:rsid w:val="004B709A"/>
    <w:rsid w:val="004B7F55"/>
    <w:rsid w:val="004C22BD"/>
    <w:rsid w:val="004C2408"/>
    <w:rsid w:val="004C3028"/>
    <w:rsid w:val="004C3D71"/>
    <w:rsid w:val="004C4133"/>
    <w:rsid w:val="004C4769"/>
    <w:rsid w:val="004C5426"/>
    <w:rsid w:val="004C5C81"/>
    <w:rsid w:val="004C63A2"/>
    <w:rsid w:val="004C6724"/>
    <w:rsid w:val="004C6E4B"/>
    <w:rsid w:val="004C772B"/>
    <w:rsid w:val="004D0141"/>
    <w:rsid w:val="004D0DA4"/>
    <w:rsid w:val="004D17AF"/>
    <w:rsid w:val="004D22FF"/>
    <w:rsid w:val="004D3337"/>
    <w:rsid w:val="004D4B52"/>
    <w:rsid w:val="004D4C12"/>
    <w:rsid w:val="004D50BE"/>
    <w:rsid w:val="004D54A7"/>
    <w:rsid w:val="004D7CD5"/>
    <w:rsid w:val="004E0F45"/>
    <w:rsid w:val="004E1A8C"/>
    <w:rsid w:val="004E1C1D"/>
    <w:rsid w:val="004E2848"/>
    <w:rsid w:val="004E28D9"/>
    <w:rsid w:val="004E3393"/>
    <w:rsid w:val="004E3A84"/>
    <w:rsid w:val="004E41F2"/>
    <w:rsid w:val="004E526E"/>
    <w:rsid w:val="004E6674"/>
    <w:rsid w:val="004E691A"/>
    <w:rsid w:val="004E7D09"/>
    <w:rsid w:val="004F01A7"/>
    <w:rsid w:val="004F0700"/>
    <w:rsid w:val="004F14A5"/>
    <w:rsid w:val="004F1C16"/>
    <w:rsid w:val="004F1F05"/>
    <w:rsid w:val="004F29B9"/>
    <w:rsid w:val="004F35EE"/>
    <w:rsid w:val="004F40B9"/>
    <w:rsid w:val="004F48E8"/>
    <w:rsid w:val="004F5321"/>
    <w:rsid w:val="004F5F1A"/>
    <w:rsid w:val="004F65D0"/>
    <w:rsid w:val="004F76A2"/>
    <w:rsid w:val="004F7826"/>
    <w:rsid w:val="004F7E4E"/>
    <w:rsid w:val="0050071B"/>
    <w:rsid w:val="005007FD"/>
    <w:rsid w:val="00500D78"/>
    <w:rsid w:val="00501A88"/>
    <w:rsid w:val="00501C0A"/>
    <w:rsid w:val="00501CFC"/>
    <w:rsid w:val="005027B7"/>
    <w:rsid w:val="00502FA5"/>
    <w:rsid w:val="00504521"/>
    <w:rsid w:val="00504E6F"/>
    <w:rsid w:val="0050545D"/>
    <w:rsid w:val="00505B96"/>
    <w:rsid w:val="00506080"/>
    <w:rsid w:val="00506BC2"/>
    <w:rsid w:val="00507011"/>
    <w:rsid w:val="00507120"/>
    <w:rsid w:val="00507386"/>
    <w:rsid w:val="00510244"/>
    <w:rsid w:val="005110C0"/>
    <w:rsid w:val="00512049"/>
    <w:rsid w:val="005123BA"/>
    <w:rsid w:val="005137E9"/>
    <w:rsid w:val="00513FB6"/>
    <w:rsid w:val="00515021"/>
    <w:rsid w:val="00515355"/>
    <w:rsid w:val="005153AA"/>
    <w:rsid w:val="005155A2"/>
    <w:rsid w:val="00515937"/>
    <w:rsid w:val="00515A3F"/>
    <w:rsid w:val="00515FA6"/>
    <w:rsid w:val="00516478"/>
    <w:rsid w:val="005177BE"/>
    <w:rsid w:val="00517AC3"/>
    <w:rsid w:val="00517CBF"/>
    <w:rsid w:val="0052056B"/>
    <w:rsid w:val="00520F00"/>
    <w:rsid w:val="00521ADE"/>
    <w:rsid w:val="00525F07"/>
    <w:rsid w:val="00526CCA"/>
    <w:rsid w:val="00526F52"/>
    <w:rsid w:val="00527398"/>
    <w:rsid w:val="00527456"/>
    <w:rsid w:val="005309CF"/>
    <w:rsid w:val="00530C48"/>
    <w:rsid w:val="005323BA"/>
    <w:rsid w:val="00532ED4"/>
    <w:rsid w:val="005331F8"/>
    <w:rsid w:val="0053576C"/>
    <w:rsid w:val="00537245"/>
    <w:rsid w:val="0053737F"/>
    <w:rsid w:val="005376D5"/>
    <w:rsid w:val="005403CF"/>
    <w:rsid w:val="00540A7F"/>
    <w:rsid w:val="005424E1"/>
    <w:rsid w:val="005427A1"/>
    <w:rsid w:val="00542BF2"/>
    <w:rsid w:val="00543702"/>
    <w:rsid w:val="00544639"/>
    <w:rsid w:val="00544F1F"/>
    <w:rsid w:val="00545DDE"/>
    <w:rsid w:val="005464BF"/>
    <w:rsid w:val="00546560"/>
    <w:rsid w:val="005475A0"/>
    <w:rsid w:val="00547E78"/>
    <w:rsid w:val="00547F7B"/>
    <w:rsid w:val="00547FB0"/>
    <w:rsid w:val="005501D9"/>
    <w:rsid w:val="00551379"/>
    <w:rsid w:val="0055198C"/>
    <w:rsid w:val="00551C8B"/>
    <w:rsid w:val="00551CBE"/>
    <w:rsid w:val="00552B58"/>
    <w:rsid w:val="00552F1A"/>
    <w:rsid w:val="0055365D"/>
    <w:rsid w:val="00553BF5"/>
    <w:rsid w:val="00553D2C"/>
    <w:rsid w:val="0055427B"/>
    <w:rsid w:val="005542EE"/>
    <w:rsid w:val="0055474F"/>
    <w:rsid w:val="00555804"/>
    <w:rsid w:val="00555F35"/>
    <w:rsid w:val="0055624E"/>
    <w:rsid w:val="00556451"/>
    <w:rsid w:val="00556A2F"/>
    <w:rsid w:val="00556EFD"/>
    <w:rsid w:val="00557FBE"/>
    <w:rsid w:val="00561C0F"/>
    <w:rsid w:val="005626C2"/>
    <w:rsid w:val="00562721"/>
    <w:rsid w:val="00563855"/>
    <w:rsid w:val="00563CF1"/>
    <w:rsid w:val="0056526E"/>
    <w:rsid w:val="00565AA8"/>
    <w:rsid w:val="00566F42"/>
    <w:rsid w:val="00567050"/>
    <w:rsid w:val="00570A37"/>
    <w:rsid w:val="00570A73"/>
    <w:rsid w:val="005717DC"/>
    <w:rsid w:val="0057194C"/>
    <w:rsid w:val="00572085"/>
    <w:rsid w:val="00572468"/>
    <w:rsid w:val="00572DC1"/>
    <w:rsid w:val="00572DE7"/>
    <w:rsid w:val="005738CA"/>
    <w:rsid w:val="00573DCF"/>
    <w:rsid w:val="00574264"/>
    <w:rsid w:val="0057454C"/>
    <w:rsid w:val="00574A2F"/>
    <w:rsid w:val="00574D22"/>
    <w:rsid w:val="00575B26"/>
    <w:rsid w:val="00576655"/>
    <w:rsid w:val="00576E5A"/>
    <w:rsid w:val="00577C08"/>
    <w:rsid w:val="005815B2"/>
    <w:rsid w:val="0058191C"/>
    <w:rsid w:val="0058273C"/>
    <w:rsid w:val="00582E7E"/>
    <w:rsid w:val="00584592"/>
    <w:rsid w:val="00585A32"/>
    <w:rsid w:val="0058662C"/>
    <w:rsid w:val="00587253"/>
    <w:rsid w:val="00592020"/>
    <w:rsid w:val="005931BE"/>
    <w:rsid w:val="005945FC"/>
    <w:rsid w:val="00594637"/>
    <w:rsid w:val="00594A25"/>
    <w:rsid w:val="00594FF6"/>
    <w:rsid w:val="005950BD"/>
    <w:rsid w:val="0059511B"/>
    <w:rsid w:val="005974A1"/>
    <w:rsid w:val="00597A69"/>
    <w:rsid w:val="00597E2C"/>
    <w:rsid w:val="005A0659"/>
    <w:rsid w:val="005A0991"/>
    <w:rsid w:val="005A1E12"/>
    <w:rsid w:val="005A238E"/>
    <w:rsid w:val="005A2894"/>
    <w:rsid w:val="005A2B1D"/>
    <w:rsid w:val="005A3AD9"/>
    <w:rsid w:val="005A3B9B"/>
    <w:rsid w:val="005A41DA"/>
    <w:rsid w:val="005A4641"/>
    <w:rsid w:val="005A4D23"/>
    <w:rsid w:val="005A50B0"/>
    <w:rsid w:val="005A50C1"/>
    <w:rsid w:val="005A5E7C"/>
    <w:rsid w:val="005A5E82"/>
    <w:rsid w:val="005A6B2A"/>
    <w:rsid w:val="005A78E7"/>
    <w:rsid w:val="005A7CBE"/>
    <w:rsid w:val="005B0A26"/>
    <w:rsid w:val="005B0EAD"/>
    <w:rsid w:val="005B0FE9"/>
    <w:rsid w:val="005B1055"/>
    <w:rsid w:val="005B14E3"/>
    <w:rsid w:val="005B2505"/>
    <w:rsid w:val="005B2F1F"/>
    <w:rsid w:val="005B3A8E"/>
    <w:rsid w:val="005B3C5F"/>
    <w:rsid w:val="005B4492"/>
    <w:rsid w:val="005B528E"/>
    <w:rsid w:val="005B5315"/>
    <w:rsid w:val="005B56DA"/>
    <w:rsid w:val="005B5A1E"/>
    <w:rsid w:val="005B6845"/>
    <w:rsid w:val="005B7420"/>
    <w:rsid w:val="005C0551"/>
    <w:rsid w:val="005C444C"/>
    <w:rsid w:val="005C466A"/>
    <w:rsid w:val="005C5106"/>
    <w:rsid w:val="005C5D44"/>
    <w:rsid w:val="005C61EA"/>
    <w:rsid w:val="005C6237"/>
    <w:rsid w:val="005C6BE0"/>
    <w:rsid w:val="005D04AD"/>
    <w:rsid w:val="005D07DC"/>
    <w:rsid w:val="005D09B6"/>
    <w:rsid w:val="005D139B"/>
    <w:rsid w:val="005D330E"/>
    <w:rsid w:val="005D4DB7"/>
    <w:rsid w:val="005E0673"/>
    <w:rsid w:val="005E141B"/>
    <w:rsid w:val="005E1DDB"/>
    <w:rsid w:val="005E2121"/>
    <w:rsid w:val="005E310E"/>
    <w:rsid w:val="005E38A7"/>
    <w:rsid w:val="005E45CC"/>
    <w:rsid w:val="005E509C"/>
    <w:rsid w:val="005E5629"/>
    <w:rsid w:val="005E5F23"/>
    <w:rsid w:val="005E63E9"/>
    <w:rsid w:val="005E6CC2"/>
    <w:rsid w:val="005E7B57"/>
    <w:rsid w:val="005F0152"/>
    <w:rsid w:val="005F043B"/>
    <w:rsid w:val="005F184D"/>
    <w:rsid w:val="005F25DB"/>
    <w:rsid w:val="005F28E6"/>
    <w:rsid w:val="005F2ECC"/>
    <w:rsid w:val="005F3F0D"/>
    <w:rsid w:val="005F42C1"/>
    <w:rsid w:val="005F44C6"/>
    <w:rsid w:val="005F494D"/>
    <w:rsid w:val="005F6664"/>
    <w:rsid w:val="005F6CB3"/>
    <w:rsid w:val="005F6FCD"/>
    <w:rsid w:val="005F7856"/>
    <w:rsid w:val="0060045F"/>
    <w:rsid w:val="006011B5"/>
    <w:rsid w:val="006022AA"/>
    <w:rsid w:val="00602607"/>
    <w:rsid w:val="00602834"/>
    <w:rsid w:val="00602A02"/>
    <w:rsid w:val="00602B2D"/>
    <w:rsid w:val="00603168"/>
    <w:rsid w:val="00603F81"/>
    <w:rsid w:val="0060676E"/>
    <w:rsid w:val="0060786A"/>
    <w:rsid w:val="0061023C"/>
    <w:rsid w:val="00611693"/>
    <w:rsid w:val="00611C10"/>
    <w:rsid w:val="00612F47"/>
    <w:rsid w:val="006152AB"/>
    <w:rsid w:val="0061598B"/>
    <w:rsid w:val="00615C2C"/>
    <w:rsid w:val="00617306"/>
    <w:rsid w:val="00617522"/>
    <w:rsid w:val="006203B6"/>
    <w:rsid w:val="00620A04"/>
    <w:rsid w:val="00620F0D"/>
    <w:rsid w:val="006215A0"/>
    <w:rsid w:val="00622CA4"/>
    <w:rsid w:val="006257CB"/>
    <w:rsid w:val="00625BBB"/>
    <w:rsid w:val="00625CC9"/>
    <w:rsid w:val="006260A3"/>
    <w:rsid w:val="006302FE"/>
    <w:rsid w:val="006304F8"/>
    <w:rsid w:val="00630B54"/>
    <w:rsid w:val="00630D1E"/>
    <w:rsid w:val="006313D5"/>
    <w:rsid w:val="00632C9B"/>
    <w:rsid w:val="00632E11"/>
    <w:rsid w:val="006335F3"/>
    <w:rsid w:val="00633AAE"/>
    <w:rsid w:val="006344FF"/>
    <w:rsid w:val="0063466C"/>
    <w:rsid w:val="006363C0"/>
    <w:rsid w:val="0063701E"/>
    <w:rsid w:val="00637BAB"/>
    <w:rsid w:val="006402DF"/>
    <w:rsid w:val="00640349"/>
    <w:rsid w:val="006410DB"/>
    <w:rsid w:val="00641C7D"/>
    <w:rsid w:val="006428FD"/>
    <w:rsid w:val="006438EE"/>
    <w:rsid w:val="00643CB3"/>
    <w:rsid w:val="00644224"/>
    <w:rsid w:val="00645E03"/>
    <w:rsid w:val="00646216"/>
    <w:rsid w:val="00646E52"/>
    <w:rsid w:val="00647815"/>
    <w:rsid w:val="00650650"/>
    <w:rsid w:val="006511F0"/>
    <w:rsid w:val="0065179F"/>
    <w:rsid w:val="00651CFD"/>
    <w:rsid w:val="0065381D"/>
    <w:rsid w:val="00654027"/>
    <w:rsid w:val="0065430B"/>
    <w:rsid w:val="00654642"/>
    <w:rsid w:val="006555B6"/>
    <w:rsid w:val="006558B3"/>
    <w:rsid w:val="00655F3F"/>
    <w:rsid w:val="0065627C"/>
    <w:rsid w:val="0065796C"/>
    <w:rsid w:val="006608D3"/>
    <w:rsid w:val="00661093"/>
    <w:rsid w:val="006610A8"/>
    <w:rsid w:val="0066185D"/>
    <w:rsid w:val="00661DD2"/>
    <w:rsid w:val="006623F5"/>
    <w:rsid w:val="006628A9"/>
    <w:rsid w:val="0066303D"/>
    <w:rsid w:val="006642AA"/>
    <w:rsid w:val="00664BC0"/>
    <w:rsid w:val="00665340"/>
    <w:rsid w:val="00665C1E"/>
    <w:rsid w:val="0066611F"/>
    <w:rsid w:val="00666931"/>
    <w:rsid w:val="006717B5"/>
    <w:rsid w:val="006725B9"/>
    <w:rsid w:val="0067326A"/>
    <w:rsid w:val="006740D1"/>
    <w:rsid w:val="00674926"/>
    <w:rsid w:val="00675245"/>
    <w:rsid w:val="00675296"/>
    <w:rsid w:val="006755C6"/>
    <w:rsid w:val="00675EB6"/>
    <w:rsid w:val="00676B1F"/>
    <w:rsid w:val="00676BDD"/>
    <w:rsid w:val="00680F4D"/>
    <w:rsid w:val="006811BE"/>
    <w:rsid w:val="00681795"/>
    <w:rsid w:val="00681B8C"/>
    <w:rsid w:val="0068209E"/>
    <w:rsid w:val="00682DE8"/>
    <w:rsid w:val="0068305E"/>
    <w:rsid w:val="0068316B"/>
    <w:rsid w:val="00683C3C"/>
    <w:rsid w:val="006840C2"/>
    <w:rsid w:val="0068471F"/>
    <w:rsid w:val="00684DAC"/>
    <w:rsid w:val="006855CA"/>
    <w:rsid w:val="006855D3"/>
    <w:rsid w:val="00686BBF"/>
    <w:rsid w:val="006876A4"/>
    <w:rsid w:val="00687E18"/>
    <w:rsid w:val="006909B0"/>
    <w:rsid w:val="00690C5D"/>
    <w:rsid w:val="00690C60"/>
    <w:rsid w:val="006917D7"/>
    <w:rsid w:val="00691819"/>
    <w:rsid w:val="006920D3"/>
    <w:rsid w:val="00693670"/>
    <w:rsid w:val="00694F2F"/>
    <w:rsid w:val="006957F0"/>
    <w:rsid w:val="006960CB"/>
    <w:rsid w:val="00696D6A"/>
    <w:rsid w:val="006976BC"/>
    <w:rsid w:val="00697C12"/>
    <w:rsid w:val="006A0BFD"/>
    <w:rsid w:val="006A13D0"/>
    <w:rsid w:val="006A1409"/>
    <w:rsid w:val="006A2886"/>
    <w:rsid w:val="006A2EBF"/>
    <w:rsid w:val="006A30A5"/>
    <w:rsid w:val="006A3146"/>
    <w:rsid w:val="006A3318"/>
    <w:rsid w:val="006A43CE"/>
    <w:rsid w:val="006A4679"/>
    <w:rsid w:val="006A47D8"/>
    <w:rsid w:val="006A662E"/>
    <w:rsid w:val="006A6A33"/>
    <w:rsid w:val="006A7229"/>
    <w:rsid w:val="006A7CB4"/>
    <w:rsid w:val="006A7D3D"/>
    <w:rsid w:val="006B0227"/>
    <w:rsid w:val="006B05A0"/>
    <w:rsid w:val="006B0DB2"/>
    <w:rsid w:val="006B1949"/>
    <w:rsid w:val="006B1FC7"/>
    <w:rsid w:val="006B2A1F"/>
    <w:rsid w:val="006B3609"/>
    <w:rsid w:val="006B3CA8"/>
    <w:rsid w:val="006B445C"/>
    <w:rsid w:val="006B44A5"/>
    <w:rsid w:val="006B4B9F"/>
    <w:rsid w:val="006B56C4"/>
    <w:rsid w:val="006B5923"/>
    <w:rsid w:val="006B6100"/>
    <w:rsid w:val="006B79B3"/>
    <w:rsid w:val="006C046C"/>
    <w:rsid w:val="006C0499"/>
    <w:rsid w:val="006C0869"/>
    <w:rsid w:val="006C0D90"/>
    <w:rsid w:val="006C1A2B"/>
    <w:rsid w:val="006C2061"/>
    <w:rsid w:val="006C30FE"/>
    <w:rsid w:val="006C32CE"/>
    <w:rsid w:val="006C35AB"/>
    <w:rsid w:val="006C3635"/>
    <w:rsid w:val="006C5965"/>
    <w:rsid w:val="006C6F26"/>
    <w:rsid w:val="006C7168"/>
    <w:rsid w:val="006D04D0"/>
    <w:rsid w:val="006D0B9A"/>
    <w:rsid w:val="006D0DA9"/>
    <w:rsid w:val="006D143F"/>
    <w:rsid w:val="006D1926"/>
    <w:rsid w:val="006D1CF3"/>
    <w:rsid w:val="006D3F91"/>
    <w:rsid w:val="006D4B80"/>
    <w:rsid w:val="006D50FD"/>
    <w:rsid w:val="006D54A4"/>
    <w:rsid w:val="006D5B5D"/>
    <w:rsid w:val="006D5EDC"/>
    <w:rsid w:val="006D6ECB"/>
    <w:rsid w:val="006D705F"/>
    <w:rsid w:val="006D73EB"/>
    <w:rsid w:val="006D7603"/>
    <w:rsid w:val="006D784C"/>
    <w:rsid w:val="006E0128"/>
    <w:rsid w:val="006E12A5"/>
    <w:rsid w:val="006E1D53"/>
    <w:rsid w:val="006E3AD2"/>
    <w:rsid w:val="006E3EE4"/>
    <w:rsid w:val="006E473E"/>
    <w:rsid w:val="006E498A"/>
    <w:rsid w:val="006E6053"/>
    <w:rsid w:val="006F04BD"/>
    <w:rsid w:val="006F10AB"/>
    <w:rsid w:val="006F20F0"/>
    <w:rsid w:val="006F264A"/>
    <w:rsid w:val="006F27A5"/>
    <w:rsid w:val="006F2938"/>
    <w:rsid w:val="006F3475"/>
    <w:rsid w:val="006F3A1E"/>
    <w:rsid w:val="006F4473"/>
    <w:rsid w:val="006F4509"/>
    <w:rsid w:val="006F493D"/>
    <w:rsid w:val="006F5068"/>
    <w:rsid w:val="006F5DE6"/>
    <w:rsid w:val="006F7EA4"/>
    <w:rsid w:val="0070030D"/>
    <w:rsid w:val="00700704"/>
    <w:rsid w:val="007021B3"/>
    <w:rsid w:val="00702CA5"/>
    <w:rsid w:val="007046E0"/>
    <w:rsid w:val="0070499D"/>
    <w:rsid w:val="00704D98"/>
    <w:rsid w:val="00705EAB"/>
    <w:rsid w:val="00706194"/>
    <w:rsid w:val="00706998"/>
    <w:rsid w:val="00706E9D"/>
    <w:rsid w:val="0070777D"/>
    <w:rsid w:val="00710461"/>
    <w:rsid w:val="00710912"/>
    <w:rsid w:val="00710C05"/>
    <w:rsid w:val="00711D49"/>
    <w:rsid w:val="00712028"/>
    <w:rsid w:val="007134FE"/>
    <w:rsid w:val="0071504A"/>
    <w:rsid w:val="00717096"/>
    <w:rsid w:val="0071746A"/>
    <w:rsid w:val="007175A9"/>
    <w:rsid w:val="007178DC"/>
    <w:rsid w:val="00717C9A"/>
    <w:rsid w:val="00717D39"/>
    <w:rsid w:val="00720EA6"/>
    <w:rsid w:val="0072257D"/>
    <w:rsid w:val="00722F29"/>
    <w:rsid w:val="00723010"/>
    <w:rsid w:val="0072333C"/>
    <w:rsid w:val="0072536F"/>
    <w:rsid w:val="007268D8"/>
    <w:rsid w:val="00726B0D"/>
    <w:rsid w:val="00727650"/>
    <w:rsid w:val="00727A3A"/>
    <w:rsid w:val="00727D7F"/>
    <w:rsid w:val="00730BA4"/>
    <w:rsid w:val="0073129A"/>
    <w:rsid w:val="00731B3C"/>
    <w:rsid w:val="00733D27"/>
    <w:rsid w:val="00733EE0"/>
    <w:rsid w:val="00734851"/>
    <w:rsid w:val="0073502C"/>
    <w:rsid w:val="00736339"/>
    <w:rsid w:val="00736559"/>
    <w:rsid w:val="00736F6D"/>
    <w:rsid w:val="007400E0"/>
    <w:rsid w:val="00740F8D"/>
    <w:rsid w:val="007416FA"/>
    <w:rsid w:val="00741965"/>
    <w:rsid w:val="007425EA"/>
    <w:rsid w:val="0074316B"/>
    <w:rsid w:val="00743643"/>
    <w:rsid w:val="007443C8"/>
    <w:rsid w:val="0074482A"/>
    <w:rsid w:val="0074570C"/>
    <w:rsid w:val="00745BD9"/>
    <w:rsid w:val="00746AFC"/>
    <w:rsid w:val="0074749B"/>
    <w:rsid w:val="00750625"/>
    <w:rsid w:val="00751060"/>
    <w:rsid w:val="007515CC"/>
    <w:rsid w:val="00751C9C"/>
    <w:rsid w:val="007526D8"/>
    <w:rsid w:val="00752E62"/>
    <w:rsid w:val="00752F6B"/>
    <w:rsid w:val="0075331E"/>
    <w:rsid w:val="0075340F"/>
    <w:rsid w:val="00754269"/>
    <w:rsid w:val="0075460A"/>
    <w:rsid w:val="00754ADE"/>
    <w:rsid w:val="00754C1E"/>
    <w:rsid w:val="00754D97"/>
    <w:rsid w:val="00756824"/>
    <w:rsid w:val="0075687D"/>
    <w:rsid w:val="00756D78"/>
    <w:rsid w:val="00757223"/>
    <w:rsid w:val="00760B1A"/>
    <w:rsid w:val="00761A6C"/>
    <w:rsid w:val="00761CF4"/>
    <w:rsid w:val="00762A77"/>
    <w:rsid w:val="007630BC"/>
    <w:rsid w:val="007633A8"/>
    <w:rsid w:val="00763681"/>
    <w:rsid w:val="007638C2"/>
    <w:rsid w:val="00763EFA"/>
    <w:rsid w:val="00766BA0"/>
    <w:rsid w:val="00770DF8"/>
    <w:rsid w:val="00771235"/>
    <w:rsid w:val="00771E9F"/>
    <w:rsid w:val="00771EFE"/>
    <w:rsid w:val="0077277E"/>
    <w:rsid w:val="00772AC8"/>
    <w:rsid w:val="00772F01"/>
    <w:rsid w:val="00773654"/>
    <w:rsid w:val="00773B8F"/>
    <w:rsid w:val="00774C5E"/>
    <w:rsid w:val="00774ED5"/>
    <w:rsid w:val="0077538D"/>
    <w:rsid w:val="00775CC6"/>
    <w:rsid w:val="007761B7"/>
    <w:rsid w:val="00776AA0"/>
    <w:rsid w:val="00777389"/>
    <w:rsid w:val="00777399"/>
    <w:rsid w:val="00777ABD"/>
    <w:rsid w:val="00780309"/>
    <w:rsid w:val="007803CF"/>
    <w:rsid w:val="0078042E"/>
    <w:rsid w:val="007808FD"/>
    <w:rsid w:val="00781604"/>
    <w:rsid w:val="00781AFD"/>
    <w:rsid w:val="00781DDA"/>
    <w:rsid w:val="007825A0"/>
    <w:rsid w:val="007827ED"/>
    <w:rsid w:val="00786C66"/>
    <w:rsid w:val="00786DB5"/>
    <w:rsid w:val="00787341"/>
    <w:rsid w:val="00790A34"/>
    <w:rsid w:val="007936F8"/>
    <w:rsid w:val="00794639"/>
    <w:rsid w:val="00796532"/>
    <w:rsid w:val="00797B9B"/>
    <w:rsid w:val="00797E31"/>
    <w:rsid w:val="00797FDD"/>
    <w:rsid w:val="007A1847"/>
    <w:rsid w:val="007A21C4"/>
    <w:rsid w:val="007A2417"/>
    <w:rsid w:val="007A440C"/>
    <w:rsid w:val="007A4691"/>
    <w:rsid w:val="007A4BF2"/>
    <w:rsid w:val="007A4C70"/>
    <w:rsid w:val="007A51FF"/>
    <w:rsid w:val="007A588A"/>
    <w:rsid w:val="007A58C1"/>
    <w:rsid w:val="007A597A"/>
    <w:rsid w:val="007A649E"/>
    <w:rsid w:val="007B046D"/>
    <w:rsid w:val="007B08B0"/>
    <w:rsid w:val="007B0C69"/>
    <w:rsid w:val="007B0DB2"/>
    <w:rsid w:val="007B0F7A"/>
    <w:rsid w:val="007B1222"/>
    <w:rsid w:val="007B1F3B"/>
    <w:rsid w:val="007B27F1"/>
    <w:rsid w:val="007B368A"/>
    <w:rsid w:val="007B454E"/>
    <w:rsid w:val="007B45D4"/>
    <w:rsid w:val="007B6778"/>
    <w:rsid w:val="007B6BEA"/>
    <w:rsid w:val="007C1EB1"/>
    <w:rsid w:val="007C2116"/>
    <w:rsid w:val="007C21B0"/>
    <w:rsid w:val="007C2E82"/>
    <w:rsid w:val="007C376C"/>
    <w:rsid w:val="007C3D4D"/>
    <w:rsid w:val="007C3FE0"/>
    <w:rsid w:val="007C4412"/>
    <w:rsid w:val="007C5161"/>
    <w:rsid w:val="007C658F"/>
    <w:rsid w:val="007C766E"/>
    <w:rsid w:val="007D0C9E"/>
    <w:rsid w:val="007D1842"/>
    <w:rsid w:val="007D296E"/>
    <w:rsid w:val="007D2B96"/>
    <w:rsid w:val="007D3849"/>
    <w:rsid w:val="007D3B97"/>
    <w:rsid w:val="007D4051"/>
    <w:rsid w:val="007D44DB"/>
    <w:rsid w:val="007D4630"/>
    <w:rsid w:val="007D52BA"/>
    <w:rsid w:val="007D53BC"/>
    <w:rsid w:val="007D5551"/>
    <w:rsid w:val="007D68C5"/>
    <w:rsid w:val="007D6BBE"/>
    <w:rsid w:val="007D6DC1"/>
    <w:rsid w:val="007E0855"/>
    <w:rsid w:val="007E096F"/>
    <w:rsid w:val="007E0FE4"/>
    <w:rsid w:val="007E2646"/>
    <w:rsid w:val="007E28CB"/>
    <w:rsid w:val="007E2E05"/>
    <w:rsid w:val="007E3427"/>
    <w:rsid w:val="007E3E38"/>
    <w:rsid w:val="007E51EE"/>
    <w:rsid w:val="007E606D"/>
    <w:rsid w:val="007E628F"/>
    <w:rsid w:val="007E6D78"/>
    <w:rsid w:val="007E77E1"/>
    <w:rsid w:val="007F0880"/>
    <w:rsid w:val="007F0BFF"/>
    <w:rsid w:val="007F11F3"/>
    <w:rsid w:val="007F129B"/>
    <w:rsid w:val="007F2A53"/>
    <w:rsid w:val="007F38AA"/>
    <w:rsid w:val="007F4D4E"/>
    <w:rsid w:val="007F4FB9"/>
    <w:rsid w:val="007F5A05"/>
    <w:rsid w:val="007F5AB7"/>
    <w:rsid w:val="007F5FFC"/>
    <w:rsid w:val="007F6C6D"/>
    <w:rsid w:val="007F7D53"/>
    <w:rsid w:val="007F7EB1"/>
    <w:rsid w:val="008007C9"/>
    <w:rsid w:val="008023BF"/>
    <w:rsid w:val="008037B3"/>
    <w:rsid w:val="00803BBD"/>
    <w:rsid w:val="00804E41"/>
    <w:rsid w:val="00804EE5"/>
    <w:rsid w:val="00804F7A"/>
    <w:rsid w:val="008066D8"/>
    <w:rsid w:val="00807BE2"/>
    <w:rsid w:val="0081079D"/>
    <w:rsid w:val="00810B1F"/>
    <w:rsid w:val="00810D75"/>
    <w:rsid w:val="00811BB8"/>
    <w:rsid w:val="00812FF7"/>
    <w:rsid w:val="008138C4"/>
    <w:rsid w:val="00813904"/>
    <w:rsid w:val="00813F90"/>
    <w:rsid w:val="008146B6"/>
    <w:rsid w:val="00814B92"/>
    <w:rsid w:val="00816BEB"/>
    <w:rsid w:val="00817358"/>
    <w:rsid w:val="008176AC"/>
    <w:rsid w:val="00817D5E"/>
    <w:rsid w:val="008206B6"/>
    <w:rsid w:val="008211EC"/>
    <w:rsid w:val="008235D0"/>
    <w:rsid w:val="00824EDD"/>
    <w:rsid w:val="00825921"/>
    <w:rsid w:val="00825A32"/>
    <w:rsid w:val="00826276"/>
    <w:rsid w:val="00826E20"/>
    <w:rsid w:val="00826F63"/>
    <w:rsid w:val="00827130"/>
    <w:rsid w:val="00827517"/>
    <w:rsid w:val="00827700"/>
    <w:rsid w:val="00830CDA"/>
    <w:rsid w:val="00833FA1"/>
    <w:rsid w:val="00834D24"/>
    <w:rsid w:val="008353F6"/>
    <w:rsid w:val="00835904"/>
    <w:rsid w:val="008371BA"/>
    <w:rsid w:val="0083728A"/>
    <w:rsid w:val="008404E8"/>
    <w:rsid w:val="00840ACE"/>
    <w:rsid w:val="008413D1"/>
    <w:rsid w:val="00841689"/>
    <w:rsid w:val="00841F17"/>
    <w:rsid w:val="008427B8"/>
    <w:rsid w:val="0084339C"/>
    <w:rsid w:val="0084344A"/>
    <w:rsid w:val="00844713"/>
    <w:rsid w:val="00844D63"/>
    <w:rsid w:val="00845612"/>
    <w:rsid w:val="008459AF"/>
    <w:rsid w:val="00845D85"/>
    <w:rsid w:val="008468D5"/>
    <w:rsid w:val="00846CC6"/>
    <w:rsid w:val="008474E7"/>
    <w:rsid w:val="00850B9D"/>
    <w:rsid w:val="00850CE7"/>
    <w:rsid w:val="008510C5"/>
    <w:rsid w:val="00851C8A"/>
    <w:rsid w:val="008523C8"/>
    <w:rsid w:val="00853E0F"/>
    <w:rsid w:val="0085444C"/>
    <w:rsid w:val="008546EA"/>
    <w:rsid w:val="00854FFF"/>
    <w:rsid w:val="00855458"/>
    <w:rsid w:val="00855CEF"/>
    <w:rsid w:val="00855E77"/>
    <w:rsid w:val="00856301"/>
    <w:rsid w:val="008571B4"/>
    <w:rsid w:val="008613DA"/>
    <w:rsid w:val="00863298"/>
    <w:rsid w:val="00863A11"/>
    <w:rsid w:val="008640CE"/>
    <w:rsid w:val="0086426C"/>
    <w:rsid w:val="00864F5D"/>
    <w:rsid w:val="00864F91"/>
    <w:rsid w:val="00865457"/>
    <w:rsid w:val="008659E5"/>
    <w:rsid w:val="00866306"/>
    <w:rsid w:val="00867BF7"/>
    <w:rsid w:val="00867E60"/>
    <w:rsid w:val="008716A9"/>
    <w:rsid w:val="0087176E"/>
    <w:rsid w:val="008725EE"/>
    <w:rsid w:val="0087260C"/>
    <w:rsid w:val="00873706"/>
    <w:rsid w:val="0087382F"/>
    <w:rsid w:val="00874F0E"/>
    <w:rsid w:val="0087514F"/>
    <w:rsid w:val="00875606"/>
    <w:rsid w:val="00875C52"/>
    <w:rsid w:val="00876318"/>
    <w:rsid w:val="0087674B"/>
    <w:rsid w:val="00876BAA"/>
    <w:rsid w:val="0087724B"/>
    <w:rsid w:val="008779A1"/>
    <w:rsid w:val="00877B97"/>
    <w:rsid w:val="00877CDF"/>
    <w:rsid w:val="008800A9"/>
    <w:rsid w:val="00880284"/>
    <w:rsid w:val="008802F0"/>
    <w:rsid w:val="00880F45"/>
    <w:rsid w:val="00881CE9"/>
    <w:rsid w:val="00881E52"/>
    <w:rsid w:val="00882A69"/>
    <w:rsid w:val="008834D1"/>
    <w:rsid w:val="00883BC2"/>
    <w:rsid w:val="00885E1E"/>
    <w:rsid w:val="0088703A"/>
    <w:rsid w:val="00887BDD"/>
    <w:rsid w:val="0089041D"/>
    <w:rsid w:val="00892806"/>
    <w:rsid w:val="008932B3"/>
    <w:rsid w:val="00893977"/>
    <w:rsid w:val="00893A10"/>
    <w:rsid w:val="00894396"/>
    <w:rsid w:val="00894460"/>
    <w:rsid w:val="00895EA4"/>
    <w:rsid w:val="0089644B"/>
    <w:rsid w:val="00896DF1"/>
    <w:rsid w:val="00896FAF"/>
    <w:rsid w:val="008972F4"/>
    <w:rsid w:val="00897575"/>
    <w:rsid w:val="00897658"/>
    <w:rsid w:val="008A0B7D"/>
    <w:rsid w:val="008A0F0D"/>
    <w:rsid w:val="008A17E5"/>
    <w:rsid w:val="008A19A5"/>
    <w:rsid w:val="008A1C99"/>
    <w:rsid w:val="008A29DB"/>
    <w:rsid w:val="008A2CFD"/>
    <w:rsid w:val="008A2FB5"/>
    <w:rsid w:val="008A387C"/>
    <w:rsid w:val="008A4659"/>
    <w:rsid w:val="008A4AA9"/>
    <w:rsid w:val="008A4ADA"/>
    <w:rsid w:val="008A5DA3"/>
    <w:rsid w:val="008A70CC"/>
    <w:rsid w:val="008A7139"/>
    <w:rsid w:val="008A71AD"/>
    <w:rsid w:val="008A76D3"/>
    <w:rsid w:val="008A782B"/>
    <w:rsid w:val="008A7DD1"/>
    <w:rsid w:val="008A7E1B"/>
    <w:rsid w:val="008B0452"/>
    <w:rsid w:val="008B1388"/>
    <w:rsid w:val="008B1E99"/>
    <w:rsid w:val="008B34E5"/>
    <w:rsid w:val="008B42F3"/>
    <w:rsid w:val="008B4377"/>
    <w:rsid w:val="008B4D85"/>
    <w:rsid w:val="008B54BF"/>
    <w:rsid w:val="008B6918"/>
    <w:rsid w:val="008B6E19"/>
    <w:rsid w:val="008B72C3"/>
    <w:rsid w:val="008B754A"/>
    <w:rsid w:val="008B773C"/>
    <w:rsid w:val="008B778A"/>
    <w:rsid w:val="008B79ED"/>
    <w:rsid w:val="008C09BD"/>
    <w:rsid w:val="008C0DD4"/>
    <w:rsid w:val="008C1A18"/>
    <w:rsid w:val="008C2AC4"/>
    <w:rsid w:val="008C486F"/>
    <w:rsid w:val="008C4A1B"/>
    <w:rsid w:val="008C5882"/>
    <w:rsid w:val="008C5E06"/>
    <w:rsid w:val="008C75A0"/>
    <w:rsid w:val="008C78C4"/>
    <w:rsid w:val="008C7D99"/>
    <w:rsid w:val="008D2AC0"/>
    <w:rsid w:val="008D2BE6"/>
    <w:rsid w:val="008D3E8F"/>
    <w:rsid w:val="008D4344"/>
    <w:rsid w:val="008D54FB"/>
    <w:rsid w:val="008D571F"/>
    <w:rsid w:val="008D59A7"/>
    <w:rsid w:val="008D6941"/>
    <w:rsid w:val="008D6F54"/>
    <w:rsid w:val="008D7582"/>
    <w:rsid w:val="008D7E44"/>
    <w:rsid w:val="008D7E4A"/>
    <w:rsid w:val="008E1B57"/>
    <w:rsid w:val="008E2252"/>
    <w:rsid w:val="008E32E9"/>
    <w:rsid w:val="008E3555"/>
    <w:rsid w:val="008E3FD6"/>
    <w:rsid w:val="008E4146"/>
    <w:rsid w:val="008E41CB"/>
    <w:rsid w:val="008E45EF"/>
    <w:rsid w:val="008E6C4A"/>
    <w:rsid w:val="008F01EE"/>
    <w:rsid w:val="008F02C8"/>
    <w:rsid w:val="008F27A3"/>
    <w:rsid w:val="008F2F9A"/>
    <w:rsid w:val="008F30CB"/>
    <w:rsid w:val="008F3425"/>
    <w:rsid w:val="008F3A6A"/>
    <w:rsid w:val="008F45BD"/>
    <w:rsid w:val="008F46E2"/>
    <w:rsid w:val="008F5662"/>
    <w:rsid w:val="008F5B86"/>
    <w:rsid w:val="008F6163"/>
    <w:rsid w:val="008F6248"/>
    <w:rsid w:val="008F6387"/>
    <w:rsid w:val="00900428"/>
    <w:rsid w:val="0090186E"/>
    <w:rsid w:val="009019AB"/>
    <w:rsid w:val="00901B0D"/>
    <w:rsid w:val="00901FEC"/>
    <w:rsid w:val="009027B8"/>
    <w:rsid w:val="00902854"/>
    <w:rsid w:val="00903354"/>
    <w:rsid w:val="00903414"/>
    <w:rsid w:val="00903AF6"/>
    <w:rsid w:val="00903F22"/>
    <w:rsid w:val="0090432B"/>
    <w:rsid w:val="0090458C"/>
    <w:rsid w:val="009047F4"/>
    <w:rsid w:val="00904A50"/>
    <w:rsid w:val="009054F7"/>
    <w:rsid w:val="009066B2"/>
    <w:rsid w:val="009067FA"/>
    <w:rsid w:val="00907733"/>
    <w:rsid w:val="00907B0B"/>
    <w:rsid w:val="00911D0A"/>
    <w:rsid w:val="00911FC9"/>
    <w:rsid w:val="00913BFF"/>
    <w:rsid w:val="009154BC"/>
    <w:rsid w:val="0091618A"/>
    <w:rsid w:val="009164BA"/>
    <w:rsid w:val="009167AC"/>
    <w:rsid w:val="00916C57"/>
    <w:rsid w:val="009172F2"/>
    <w:rsid w:val="009204CB"/>
    <w:rsid w:val="00920942"/>
    <w:rsid w:val="0092125D"/>
    <w:rsid w:val="0092224D"/>
    <w:rsid w:val="00922704"/>
    <w:rsid w:val="0092313D"/>
    <w:rsid w:val="00923B27"/>
    <w:rsid w:val="009251BC"/>
    <w:rsid w:val="00925605"/>
    <w:rsid w:val="00925D72"/>
    <w:rsid w:val="0092689B"/>
    <w:rsid w:val="00927859"/>
    <w:rsid w:val="009301CC"/>
    <w:rsid w:val="00930544"/>
    <w:rsid w:val="00930B91"/>
    <w:rsid w:val="0093462A"/>
    <w:rsid w:val="009358F6"/>
    <w:rsid w:val="009359DA"/>
    <w:rsid w:val="00935BBC"/>
    <w:rsid w:val="00935BC4"/>
    <w:rsid w:val="00937616"/>
    <w:rsid w:val="00937889"/>
    <w:rsid w:val="00937FEE"/>
    <w:rsid w:val="00940D56"/>
    <w:rsid w:val="009417CF"/>
    <w:rsid w:val="00942242"/>
    <w:rsid w:val="00942784"/>
    <w:rsid w:val="00942BA2"/>
    <w:rsid w:val="00942F3C"/>
    <w:rsid w:val="00944806"/>
    <w:rsid w:val="00944A00"/>
    <w:rsid w:val="00944DF8"/>
    <w:rsid w:val="00944F3B"/>
    <w:rsid w:val="009457F6"/>
    <w:rsid w:val="00945CB1"/>
    <w:rsid w:val="00946483"/>
    <w:rsid w:val="00946811"/>
    <w:rsid w:val="00946B93"/>
    <w:rsid w:val="0094724C"/>
    <w:rsid w:val="0094765D"/>
    <w:rsid w:val="0095076B"/>
    <w:rsid w:val="00952107"/>
    <w:rsid w:val="00952CE2"/>
    <w:rsid w:val="00952F6A"/>
    <w:rsid w:val="009532F1"/>
    <w:rsid w:val="009536CB"/>
    <w:rsid w:val="0095449E"/>
    <w:rsid w:val="00954B3F"/>
    <w:rsid w:val="00955585"/>
    <w:rsid w:val="00956022"/>
    <w:rsid w:val="0095622F"/>
    <w:rsid w:val="0095653C"/>
    <w:rsid w:val="00956673"/>
    <w:rsid w:val="009566D2"/>
    <w:rsid w:val="00956C77"/>
    <w:rsid w:val="00957249"/>
    <w:rsid w:val="0095771D"/>
    <w:rsid w:val="009579A7"/>
    <w:rsid w:val="00961D5D"/>
    <w:rsid w:val="00961F33"/>
    <w:rsid w:val="00962699"/>
    <w:rsid w:val="0096517F"/>
    <w:rsid w:val="0096545B"/>
    <w:rsid w:val="00965753"/>
    <w:rsid w:val="0096578D"/>
    <w:rsid w:val="00966FB5"/>
    <w:rsid w:val="00970F8E"/>
    <w:rsid w:val="0097215A"/>
    <w:rsid w:val="00972497"/>
    <w:rsid w:val="00972677"/>
    <w:rsid w:val="009728D6"/>
    <w:rsid w:val="00972A6F"/>
    <w:rsid w:val="00973267"/>
    <w:rsid w:val="0097391D"/>
    <w:rsid w:val="00973CA1"/>
    <w:rsid w:val="009742C7"/>
    <w:rsid w:val="00974301"/>
    <w:rsid w:val="00974AE0"/>
    <w:rsid w:val="0097591B"/>
    <w:rsid w:val="0097623E"/>
    <w:rsid w:val="00977149"/>
    <w:rsid w:val="00977FBD"/>
    <w:rsid w:val="009806D0"/>
    <w:rsid w:val="00980861"/>
    <w:rsid w:val="00981AA3"/>
    <w:rsid w:val="00982272"/>
    <w:rsid w:val="00982C01"/>
    <w:rsid w:val="00985221"/>
    <w:rsid w:val="00985FC6"/>
    <w:rsid w:val="00985FD1"/>
    <w:rsid w:val="009861D4"/>
    <w:rsid w:val="009866B5"/>
    <w:rsid w:val="00986CE5"/>
    <w:rsid w:val="0099046E"/>
    <w:rsid w:val="009906CC"/>
    <w:rsid w:val="00990C85"/>
    <w:rsid w:val="0099211D"/>
    <w:rsid w:val="009921EF"/>
    <w:rsid w:val="009947F7"/>
    <w:rsid w:val="009A0520"/>
    <w:rsid w:val="009A1856"/>
    <w:rsid w:val="009A1D8E"/>
    <w:rsid w:val="009A2BA2"/>
    <w:rsid w:val="009A2DA3"/>
    <w:rsid w:val="009A2EE1"/>
    <w:rsid w:val="009A2FC5"/>
    <w:rsid w:val="009A3F39"/>
    <w:rsid w:val="009A45E4"/>
    <w:rsid w:val="009A5341"/>
    <w:rsid w:val="009A559C"/>
    <w:rsid w:val="009A5B60"/>
    <w:rsid w:val="009A6E9B"/>
    <w:rsid w:val="009A7C14"/>
    <w:rsid w:val="009B0374"/>
    <w:rsid w:val="009B0D8A"/>
    <w:rsid w:val="009B0F01"/>
    <w:rsid w:val="009B120D"/>
    <w:rsid w:val="009B1840"/>
    <w:rsid w:val="009B18C4"/>
    <w:rsid w:val="009B1A99"/>
    <w:rsid w:val="009B2222"/>
    <w:rsid w:val="009B2553"/>
    <w:rsid w:val="009B297C"/>
    <w:rsid w:val="009B2C87"/>
    <w:rsid w:val="009B36BC"/>
    <w:rsid w:val="009B39FC"/>
    <w:rsid w:val="009B4136"/>
    <w:rsid w:val="009B4EA5"/>
    <w:rsid w:val="009B52C7"/>
    <w:rsid w:val="009B5EC4"/>
    <w:rsid w:val="009B6B54"/>
    <w:rsid w:val="009B6E24"/>
    <w:rsid w:val="009B7752"/>
    <w:rsid w:val="009B781B"/>
    <w:rsid w:val="009B7BBC"/>
    <w:rsid w:val="009B7FB7"/>
    <w:rsid w:val="009C00CF"/>
    <w:rsid w:val="009C1977"/>
    <w:rsid w:val="009C25EF"/>
    <w:rsid w:val="009C2D16"/>
    <w:rsid w:val="009C3AFC"/>
    <w:rsid w:val="009C40BC"/>
    <w:rsid w:val="009C4546"/>
    <w:rsid w:val="009C45A8"/>
    <w:rsid w:val="009C4E26"/>
    <w:rsid w:val="009C5A3F"/>
    <w:rsid w:val="009C65C8"/>
    <w:rsid w:val="009C71D8"/>
    <w:rsid w:val="009C7F40"/>
    <w:rsid w:val="009D0431"/>
    <w:rsid w:val="009D0D0E"/>
    <w:rsid w:val="009D18C1"/>
    <w:rsid w:val="009D1A64"/>
    <w:rsid w:val="009D2103"/>
    <w:rsid w:val="009D2C30"/>
    <w:rsid w:val="009D2C88"/>
    <w:rsid w:val="009D30F5"/>
    <w:rsid w:val="009D32BA"/>
    <w:rsid w:val="009D4391"/>
    <w:rsid w:val="009D5197"/>
    <w:rsid w:val="009D5261"/>
    <w:rsid w:val="009D55BB"/>
    <w:rsid w:val="009D5985"/>
    <w:rsid w:val="009D7B52"/>
    <w:rsid w:val="009E09D6"/>
    <w:rsid w:val="009E1610"/>
    <w:rsid w:val="009E1986"/>
    <w:rsid w:val="009E38A4"/>
    <w:rsid w:val="009E3F5E"/>
    <w:rsid w:val="009E4161"/>
    <w:rsid w:val="009E5324"/>
    <w:rsid w:val="009E5523"/>
    <w:rsid w:val="009E5F4A"/>
    <w:rsid w:val="009E632D"/>
    <w:rsid w:val="009E6519"/>
    <w:rsid w:val="009E69CF"/>
    <w:rsid w:val="009E716D"/>
    <w:rsid w:val="009E77CA"/>
    <w:rsid w:val="009E782F"/>
    <w:rsid w:val="009E7E12"/>
    <w:rsid w:val="009F0741"/>
    <w:rsid w:val="009F12DC"/>
    <w:rsid w:val="009F139A"/>
    <w:rsid w:val="009F1507"/>
    <w:rsid w:val="009F18E8"/>
    <w:rsid w:val="009F20CD"/>
    <w:rsid w:val="009F4487"/>
    <w:rsid w:val="009F49CF"/>
    <w:rsid w:val="009F5D26"/>
    <w:rsid w:val="009F6040"/>
    <w:rsid w:val="009F733E"/>
    <w:rsid w:val="009F7F21"/>
    <w:rsid w:val="00A00BF6"/>
    <w:rsid w:val="00A01789"/>
    <w:rsid w:val="00A017AE"/>
    <w:rsid w:val="00A01AE5"/>
    <w:rsid w:val="00A01DA5"/>
    <w:rsid w:val="00A0256B"/>
    <w:rsid w:val="00A02FCD"/>
    <w:rsid w:val="00A03A3B"/>
    <w:rsid w:val="00A0419E"/>
    <w:rsid w:val="00A04509"/>
    <w:rsid w:val="00A046CC"/>
    <w:rsid w:val="00A04954"/>
    <w:rsid w:val="00A0790C"/>
    <w:rsid w:val="00A07F88"/>
    <w:rsid w:val="00A10031"/>
    <w:rsid w:val="00A104A8"/>
    <w:rsid w:val="00A109AE"/>
    <w:rsid w:val="00A10C14"/>
    <w:rsid w:val="00A10DDF"/>
    <w:rsid w:val="00A10EC2"/>
    <w:rsid w:val="00A10F3F"/>
    <w:rsid w:val="00A11C14"/>
    <w:rsid w:val="00A1237E"/>
    <w:rsid w:val="00A12CC8"/>
    <w:rsid w:val="00A13CE3"/>
    <w:rsid w:val="00A143BF"/>
    <w:rsid w:val="00A145CA"/>
    <w:rsid w:val="00A148C7"/>
    <w:rsid w:val="00A14E36"/>
    <w:rsid w:val="00A160A1"/>
    <w:rsid w:val="00A1621F"/>
    <w:rsid w:val="00A16310"/>
    <w:rsid w:val="00A172F0"/>
    <w:rsid w:val="00A204B5"/>
    <w:rsid w:val="00A204ED"/>
    <w:rsid w:val="00A205DD"/>
    <w:rsid w:val="00A20CF5"/>
    <w:rsid w:val="00A20DBB"/>
    <w:rsid w:val="00A210D9"/>
    <w:rsid w:val="00A215CE"/>
    <w:rsid w:val="00A21CC7"/>
    <w:rsid w:val="00A22599"/>
    <w:rsid w:val="00A23A00"/>
    <w:rsid w:val="00A24FA2"/>
    <w:rsid w:val="00A260D1"/>
    <w:rsid w:val="00A2663C"/>
    <w:rsid w:val="00A26BDA"/>
    <w:rsid w:val="00A26FFD"/>
    <w:rsid w:val="00A30BD1"/>
    <w:rsid w:val="00A31054"/>
    <w:rsid w:val="00A3137E"/>
    <w:rsid w:val="00A32D7D"/>
    <w:rsid w:val="00A33663"/>
    <w:rsid w:val="00A336E5"/>
    <w:rsid w:val="00A339AA"/>
    <w:rsid w:val="00A34E2C"/>
    <w:rsid w:val="00A35C9F"/>
    <w:rsid w:val="00A36F86"/>
    <w:rsid w:val="00A375E5"/>
    <w:rsid w:val="00A4047C"/>
    <w:rsid w:val="00A417C2"/>
    <w:rsid w:val="00A417F3"/>
    <w:rsid w:val="00A41F2F"/>
    <w:rsid w:val="00A4207F"/>
    <w:rsid w:val="00A426DF"/>
    <w:rsid w:val="00A42B31"/>
    <w:rsid w:val="00A43443"/>
    <w:rsid w:val="00A43A5D"/>
    <w:rsid w:val="00A43DA1"/>
    <w:rsid w:val="00A44071"/>
    <w:rsid w:val="00A441E8"/>
    <w:rsid w:val="00A44A46"/>
    <w:rsid w:val="00A44E6A"/>
    <w:rsid w:val="00A454BC"/>
    <w:rsid w:val="00A475E9"/>
    <w:rsid w:val="00A52A96"/>
    <w:rsid w:val="00A52AC1"/>
    <w:rsid w:val="00A535B8"/>
    <w:rsid w:val="00A53923"/>
    <w:rsid w:val="00A54F22"/>
    <w:rsid w:val="00A56564"/>
    <w:rsid w:val="00A60D78"/>
    <w:rsid w:val="00A6194F"/>
    <w:rsid w:val="00A619BA"/>
    <w:rsid w:val="00A62207"/>
    <w:rsid w:val="00A62323"/>
    <w:rsid w:val="00A62386"/>
    <w:rsid w:val="00A63316"/>
    <w:rsid w:val="00A63F48"/>
    <w:rsid w:val="00A661A6"/>
    <w:rsid w:val="00A672ED"/>
    <w:rsid w:val="00A67ECE"/>
    <w:rsid w:val="00A71FD3"/>
    <w:rsid w:val="00A722A0"/>
    <w:rsid w:val="00A7325B"/>
    <w:rsid w:val="00A732F4"/>
    <w:rsid w:val="00A73637"/>
    <w:rsid w:val="00A736B5"/>
    <w:rsid w:val="00A73A70"/>
    <w:rsid w:val="00A73EFA"/>
    <w:rsid w:val="00A7458F"/>
    <w:rsid w:val="00A74891"/>
    <w:rsid w:val="00A754EA"/>
    <w:rsid w:val="00A756CC"/>
    <w:rsid w:val="00A7574F"/>
    <w:rsid w:val="00A7615C"/>
    <w:rsid w:val="00A77720"/>
    <w:rsid w:val="00A77D3C"/>
    <w:rsid w:val="00A8072C"/>
    <w:rsid w:val="00A8087F"/>
    <w:rsid w:val="00A80DC8"/>
    <w:rsid w:val="00A81C10"/>
    <w:rsid w:val="00A82BE1"/>
    <w:rsid w:val="00A8405B"/>
    <w:rsid w:val="00A846AE"/>
    <w:rsid w:val="00A85BF1"/>
    <w:rsid w:val="00A86826"/>
    <w:rsid w:val="00A86889"/>
    <w:rsid w:val="00A86D46"/>
    <w:rsid w:val="00A87190"/>
    <w:rsid w:val="00A875E7"/>
    <w:rsid w:val="00A907CF"/>
    <w:rsid w:val="00A90EF1"/>
    <w:rsid w:val="00A9192F"/>
    <w:rsid w:val="00A92C5A"/>
    <w:rsid w:val="00A95353"/>
    <w:rsid w:val="00A96EA1"/>
    <w:rsid w:val="00A96F0B"/>
    <w:rsid w:val="00A97393"/>
    <w:rsid w:val="00AA07E8"/>
    <w:rsid w:val="00AA146E"/>
    <w:rsid w:val="00AA1F1A"/>
    <w:rsid w:val="00AA21D1"/>
    <w:rsid w:val="00AA22B9"/>
    <w:rsid w:val="00AA28D5"/>
    <w:rsid w:val="00AA290D"/>
    <w:rsid w:val="00AA3C7B"/>
    <w:rsid w:val="00AA4B5A"/>
    <w:rsid w:val="00AA5635"/>
    <w:rsid w:val="00AA6355"/>
    <w:rsid w:val="00AA793B"/>
    <w:rsid w:val="00AA798F"/>
    <w:rsid w:val="00AB18AE"/>
    <w:rsid w:val="00AB1CE1"/>
    <w:rsid w:val="00AB1E4F"/>
    <w:rsid w:val="00AB2019"/>
    <w:rsid w:val="00AB2DF8"/>
    <w:rsid w:val="00AB47D2"/>
    <w:rsid w:val="00AB4853"/>
    <w:rsid w:val="00AB48BA"/>
    <w:rsid w:val="00AB4E70"/>
    <w:rsid w:val="00AB5159"/>
    <w:rsid w:val="00AB5896"/>
    <w:rsid w:val="00AB6548"/>
    <w:rsid w:val="00AB6DD9"/>
    <w:rsid w:val="00AB77BB"/>
    <w:rsid w:val="00AB7A66"/>
    <w:rsid w:val="00AC04F0"/>
    <w:rsid w:val="00AC0C61"/>
    <w:rsid w:val="00AC1787"/>
    <w:rsid w:val="00AC1E64"/>
    <w:rsid w:val="00AC1F2A"/>
    <w:rsid w:val="00AC234E"/>
    <w:rsid w:val="00AC35E6"/>
    <w:rsid w:val="00AC4EE4"/>
    <w:rsid w:val="00AC5686"/>
    <w:rsid w:val="00AC63F1"/>
    <w:rsid w:val="00AC7A4C"/>
    <w:rsid w:val="00AD0561"/>
    <w:rsid w:val="00AD0AD5"/>
    <w:rsid w:val="00AD1C25"/>
    <w:rsid w:val="00AD2903"/>
    <w:rsid w:val="00AD37A1"/>
    <w:rsid w:val="00AD3CD4"/>
    <w:rsid w:val="00AD4C88"/>
    <w:rsid w:val="00AD4D98"/>
    <w:rsid w:val="00AD50C4"/>
    <w:rsid w:val="00AD5575"/>
    <w:rsid w:val="00AD578D"/>
    <w:rsid w:val="00AD5948"/>
    <w:rsid w:val="00AD5EB5"/>
    <w:rsid w:val="00AE0D8B"/>
    <w:rsid w:val="00AE138A"/>
    <w:rsid w:val="00AE18C4"/>
    <w:rsid w:val="00AE1B99"/>
    <w:rsid w:val="00AE2123"/>
    <w:rsid w:val="00AE2514"/>
    <w:rsid w:val="00AE2541"/>
    <w:rsid w:val="00AE4435"/>
    <w:rsid w:val="00AE447A"/>
    <w:rsid w:val="00AE474C"/>
    <w:rsid w:val="00AE48BB"/>
    <w:rsid w:val="00AE4AFE"/>
    <w:rsid w:val="00AE4C9D"/>
    <w:rsid w:val="00AE5A1F"/>
    <w:rsid w:val="00AE73A5"/>
    <w:rsid w:val="00AE7511"/>
    <w:rsid w:val="00AF0CB0"/>
    <w:rsid w:val="00AF12A9"/>
    <w:rsid w:val="00AF1BA2"/>
    <w:rsid w:val="00AF2552"/>
    <w:rsid w:val="00AF3090"/>
    <w:rsid w:val="00AF43E1"/>
    <w:rsid w:val="00AF4EC5"/>
    <w:rsid w:val="00AF5758"/>
    <w:rsid w:val="00AF7844"/>
    <w:rsid w:val="00AF7A3D"/>
    <w:rsid w:val="00B0071E"/>
    <w:rsid w:val="00B00C6F"/>
    <w:rsid w:val="00B0159C"/>
    <w:rsid w:val="00B01E35"/>
    <w:rsid w:val="00B027C5"/>
    <w:rsid w:val="00B02ED0"/>
    <w:rsid w:val="00B037A0"/>
    <w:rsid w:val="00B03DAD"/>
    <w:rsid w:val="00B04307"/>
    <w:rsid w:val="00B04F35"/>
    <w:rsid w:val="00B05633"/>
    <w:rsid w:val="00B06B45"/>
    <w:rsid w:val="00B06C44"/>
    <w:rsid w:val="00B06E2B"/>
    <w:rsid w:val="00B107CC"/>
    <w:rsid w:val="00B1239B"/>
    <w:rsid w:val="00B12E0F"/>
    <w:rsid w:val="00B13E33"/>
    <w:rsid w:val="00B155B7"/>
    <w:rsid w:val="00B155C7"/>
    <w:rsid w:val="00B16102"/>
    <w:rsid w:val="00B1649E"/>
    <w:rsid w:val="00B17C8E"/>
    <w:rsid w:val="00B20160"/>
    <w:rsid w:val="00B20CC8"/>
    <w:rsid w:val="00B211E8"/>
    <w:rsid w:val="00B21513"/>
    <w:rsid w:val="00B21957"/>
    <w:rsid w:val="00B22B08"/>
    <w:rsid w:val="00B23124"/>
    <w:rsid w:val="00B23858"/>
    <w:rsid w:val="00B26078"/>
    <w:rsid w:val="00B265FF"/>
    <w:rsid w:val="00B2784B"/>
    <w:rsid w:val="00B27B74"/>
    <w:rsid w:val="00B27CB4"/>
    <w:rsid w:val="00B30D8D"/>
    <w:rsid w:val="00B322BE"/>
    <w:rsid w:val="00B32E0C"/>
    <w:rsid w:val="00B342D4"/>
    <w:rsid w:val="00B3469C"/>
    <w:rsid w:val="00B34D4D"/>
    <w:rsid w:val="00B353B6"/>
    <w:rsid w:val="00B35AD8"/>
    <w:rsid w:val="00B370D9"/>
    <w:rsid w:val="00B37D77"/>
    <w:rsid w:val="00B4007F"/>
    <w:rsid w:val="00B40091"/>
    <w:rsid w:val="00B406D8"/>
    <w:rsid w:val="00B40D91"/>
    <w:rsid w:val="00B41A6F"/>
    <w:rsid w:val="00B41BF3"/>
    <w:rsid w:val="00B42721"/>
    <w:rsid w:val="00B4288D"/>
    <w:rsid w:val="00B42E5A"/>
    <w:rsid w:val="00B4397D"/>
    <w:rsid w:val="00B45ECE"/>
    <w:rsid w:val="00B46664"/>
    <w:rsid w:val="00B46A77"/>
    <w:rsid w:val="00B4774C"/>
    <w:rsid w:val="00B47754"/>
    <w:rsid w:val="00B47B84"/>
    <w:rsid w:val="00B47BBD"/>
    <w:rsid w:val="00B506E3"/>
    <w:rsid w:val="00B50E21"/>
    <w:rsid w:val="00B51943"/>
    <w:rsid w:val="00B519FD"/>
    <w:rsid w:val="00B52593"/>
    <w:rsid w:val="00B55905"/>
    <w:rsid w:val="00B56B05"/>
    <w:rsid w:val="00B57BE8"/>
    <w:rsid w:val="00B6099A"/>
    <w:rsid w:val="00B612E7"/>
    <w:rsid w:val="00B61AF4"/>
    <w:rsid w:val="00B62214"/>
    <w:rsid w:val="00B62C42"/>
    <w:rsid w:val="00B63FFD"/>
    <w:rsid w:val="00B65493"/>
    <w:rsid w:val="00B65A31"/>
    <w:rsid w:val="00B6605C"/>
    <w:rsid w:val="00B66371"/>
    <w:rsid w:val="00B6644C"/>
    <w:rsid w:val="00B666F0"/>
    <w:rsid w:val="00B6775C"/>
    <w:rsid w:val="00B67BBD"/>
    <w:rsid w:val="00B67CCD"/>
    <w:rsid w:val="00B67E54"/>
    <w:rsid w:val="00B70AFD"/>
    <w:rsid w:val="00B70B9E"/>
    <w:rsid w:val="00B7120E"/>
    <w:rsid w:val="00B74618"/>
    <w:rsid w:val="00B74867"/>
    <w:rsid w:val="00B75049"/>
    <w:rsid w:val="00B7513D"/>
    <w:rsid w:val="00B75320"/>
    <w:rsid w:val="00B753A3"/>
    <w:rsid w:val="00B756AE"/>
    <w:rsid w:val="00B75EF3"/>
    <w:rsid w:val="00B76B5F"/>
    <w:rsid w:val="00B7780D"/>
    <w:rsid w:val="00B77B0D"/>
    <w:rsid w:val="00B8000B"/>
    <w:rsid w:val="00B80A1C"/>
    <w:rsid w:val="00B80C88"/>
    <w:rsid w:val="00B816FF"/>
    <w:rsid w:val="00B81D87"/>
    <w:rsid w:val="00B82914"/>
    <w:rsid w:val="00B83BFD"/>
    <w:rsid w:val="00B84109"/>
    <w:rsid w:val="00B86982"/>
    <w:rsid w:val="00B869FC"/>
    <w:rsid w:val="00B87CA9"/>
    <w:rsid w:val="00B917C5"/>
    <w:rsid w:val="00B92ED2"/>
    <w:rsid w:val="00B934CF"/>
    <w:rsid w:val="00B9452D"/>
    <w:rsid w:val="00B94896"/>
    <w:rsid w:val="00B94EF5"/>
    <w:rsid w:val="00B94EF7"/>
    <w:rsid w:val="00B95540"/>
    <w:rsid w:val="00B956AD"/>
    <w:rsid w:val="00B961CA"/>
    <w:rsid w:val="00B96531"/>
    <w:rsid w:val="00B969A5"/>
    <w:rsid w:val="00B97129"/>
    <w:rsid w:val="00B97AAE"/>
    <w:rsid w:val="00B97CDD"/>
    <w:rsid w:val="00B97F0C"/>
    <w:rsid w:val="00BA0C24"/>
    <w:rsid w:val="00BA16D5"/>
    <w:rsid w:val="00BA1EEE"/>
    <w:rsid w:val="00BA1F7C"/>
    <w:rsid w:val="00BA2266"/>
    <w:rsid w:val="00BA3F02"/>
    <w:rsid w:val="00BA3FC6"/>
    <w:rsid w:val="00BA557D"/>
    <w:rsid w:val="00BA6A39"/>
    <w:rsid w:val="00BA74B4"/>
    <w:rsid w:val="00BA7CDE"/>
    <w:rsid w:val="00BA7F73"/>
    <w:rsid w:val="00BB3709"/>
    <w:rsid w:val="00BB57E7"/>
    <w:rsid w:val="00BB60F9"/>
    <w:rsid w:val="00BB6362"/>
    <w:rsid w:val="00BB677A"/>
    <w:rsid w:val="00BB6F55"/>
    <w:rsid w:val="00BC03E6"/>
    <w:rsid w:val="00BC049A"/>
    <w:rsid w:val="00BC08DF"/>
    <w:rsid w:val="00BC1200"/>
    <w:rsid w:val="00BC1A59"/>
    <w:rsid w:val="00BC1B49"/>
    <w:rsid w:val="00BC2B8C"/>
    <w:rsid w:val="00BC3301"/>
    <w:rsid w:val="00BC3D47"/>
    <w:rsid w:val="00BC47A9"/>
    <w:rsid w:val="00BC4A5C"/>
    <w:rsid w:val="00BC4B19"/>
    <w:rsid w:val="00BC5852"/>
    <w:rsid w:val="00BC631F"/>
    <w:rsid w:val="00BC6823"/>
    <w:rsid w:val="00BC71BD"/>
    <w:rsid w:val="00BD1564"/>
    <w:rsid w:val="00BD2AB4"/>
    <w:rsid w:val="00BD2BD6"/>
    <w:rsid w:val="00BD4063"/>
    <w:rsid w:val="00BD49F4"/>
    <w:rsid w:val="00BD4D24"/>
    <w:rsid w:val="00BD50C2"/>
    <w:rsid w:val="00BD605E"/>
    <w:rsid w:val="00BD60AE"/>
    <w:rsid w:val="00BD6ADE"/>
    <w:rsid w:val="00BD7D71"/>
    <w:rsid w:val="00BE01D1"/>
    <w:rsid w:val="00BE078E"/>
    <w:rsid w:val="00BE0826"/>
    <w:rsid w:val="00BE0D14"/>
    <w:rsid w:val="00BE117C"/>
    <w:rsid w:val="00BE26B5"/>
    <w:rsid w:val="00BE3EB9"/>
    <w:rsid w:val="00BE4125"/>
    <w:rsid w:val="00BE4376"/>
    <w:rsid w:val="00BE5CF3"/>
    <w:rsid w:val="00BE68CA"/>
    <w:rsid w:val="00BE6A25"/>
    <w:rsid w:val="00BE6A7C"/>
    <w:rsid w:val="00BE6BAD"/>
    <w:rsid w:val="00BE7DE3"/>
    <w:rsid w:val="00BF0FC9"/>
    <w:rsid w:val="00BF11D2"/>
    <w:rsid w:val="00BF2563"/>
    <w:rsid w:val="00BF38CF"/>
    <w:rsid w:val="00BF3F8B"/>
    <w:rsid w:val="00BF5A03"/>
    <w:rsid w:val="00BF6386"/>
    <w:rsid w:val="00BF6891"/>
    <w:rsid w:val="00BF719A"/>
    <w:rsid w:val="00BF71EC"/>
    <w:rsid w:val="00BF72AD"/>
    <w:rsid w:val="00BF789C"/>
    <w:rsid w:val="00BF7C2E"/>
    <w:rsid w:val="00C0011D"/>
    <w:rsid w:val="00C00618"/>
    <w:rsid w:val="00C0156A"/>
    <w:rsid w:val="00C016C6"/>
    <w:rsid w:val="00C0203C"/>
    <w:rsid w:val="00C039B0"/>
    <w:rsid w:val="00C03EBB"/>
    <w:rsid w:val="00C04E54"/>
    <w:rsid w:val="00C07002"/>
    <w:rsid w:val="00C07FCB"/>
    <w:rsid w:val="00C10E65"/>
    <w:rsid w:val="00C11361"/>
    <w:rsid w:val="00C1170E"/>
    <w:rsid w:val="00C11A22"/>
    <w:rsid w:val="00C12888"/>
    <w:rsid w:val="00C13ACC"/>
    <w:rsid w:val="00C13EAC"/>
    <w:rsid w:val="00C158F7"/>
    <w:rsid w:val="00C15FF8"/>
    <w:rsid w:val="00C16BCE"/>
    <w:rsid w:val="00C16E09"/>
    <w:rsid w:val="00C173E2"/>
    <w:rsid w:val="00C20F61"/>
    <w:rsid w:val="00C21595"/>
    <w:rsid w:val="00C22960"/>
    <w:rsid w:val="00C22DF8"/>
    <w:rsid w:val="00C2363B"/>
    <w:rsid w:val="00C237E9"/>
    <w:rsid w:val="00C24ABE"/>
    <w:rsid w:val="00C24CB0"/>
    <w:rsid w:val="00C24F6E"/>
    <w:rsid w:val="00C260EC"/>
    <w:rsid w:val="00C30AA4"/>
    <w:rsid w:val="00C30CB0"/>
    <w:rsid w:val="00C319E1"/>
    <w:rsid w:val="00C3201B"/>
    <w:rsid w:val="00C325F6"/>
    <w:rsid w:val="00C33E0F"/>
    <w:rsid w:val="00C33FBC"/>
    <w:rsid w:val="00C34ED5"/>
    <w:rsid w:val="00C3530E"/>
    <w:rsid w:val="00C36815"/>
    <w:rsid w:val="00C379CA"/>
    <w:rsid w:val="00C379CE"/>
    <w:rsid w:val="00C37A50"/>
    <w:rsid w:val="00C40413"/>
    <w:rsid w:val="00C41522"/>
    <w:rsid w:val="00C43C37"/>
    <w:rsid w:val="00C449F8"/>
    <w:rsid w:val="00C44CB7"/>
    <w:rsid w:val="00C451CC"/>
    <w:rsid w:val="00C45B92"/>
    <w:rsid w:val="00C4626E"/>
    <w:rsid w:val="00C47572"/>
    <w:rsid w:val="00C47805"/>
    <w:rsid w:val="00C47A28"/>
    <w:rsid w:val="00C47C37"/>
    <w:rsid w:val="00C5007F"/>
    <w:rsid w:val="00C50A12"/>
    <w:rsid w:val="00C50A17"/>
    <w:rsid w:val="00C50ED1"/>
    <w:rsid w:val="00C516A3"/>
    <w:rsid w:val="00C52093"/>
    <w:rsid w:val="00C54450"/>
    <w:rsid w:val="00C54E98"/>
    <w:rsid w:val="00C5563F"/>
    <w:rsid w:val="00C56329"/>
    <w:rsid w:val="00C57300"/>
    <w:rsid w:val="00C573EC"/>
    <w:rsid w:val="00C57BCF"/>
    <w:rsid w:val="00C603E1"/>
    <w:rsid w:val="00C61E5D"/>
    <w:rsid w:val="00C61EC0"/>
    <w:rsid w:val="00C647A8"/>
    <w:rsid w:val="00C64E5C"/>
    <w:rsid w:val="00C65F49"/>
    <w:rsid w:val="00C6617B"/>
    <w:rsid w:val="00C66696"/>
    <w:rsid w:val="00C674D2"/>
    <w:rsid w:val="00C67765"/>
    <w:rsid w:val="00C67E2D"/>
    <w:rsid w:val="00C67F67"/>
    <w:rsid w:val="00C67F6C"/>
    <w:rsid w:val="00C705A2"/>
    <w:rsid w:val="00C70AC3"/>
    <w:rsid w:val="00C70AFB"/>
    <w:rsid w:val="00C71E90"/>
    <w:rsid w:val="00C72C5F"/>
    <w:rsid w:val="00C72F14"/>
    <w:rsid w:val="00C73448"/>
    <w:rsid w:val="00C750BB"/>
    <w:rsid w:val="00C754AA"/>
    <w:rsid w:val="00C757DD"/>
    <w:rsid w:val="00C75CB7"/>
    <w:rsid w:val="00C769E2"/>
    <w:rsid w:val="00C777DF"/>
    <w:rsid w:val="00C77D6A"/>
    <w:rsid w:val="00C821F1"/>
    <w:rsid w:val="00C82E8A"/>
    <w:rsid w:val="00C83853"/>
    <w:rsid w:val="00C8386C"/>
    <w:rsid w:val="00C83BCD"/>
    <w:rsid w:val="00C8428C"/>
    <w:rsid w:val="00C85297"/>
    <w:rsid w:val="00C8566D"/>
    <w:rsid w:val="00C86659"/>
    <w:rsid w:val="00C871CA"/>
    <w:rsid w:val="00C90D83"/>
    <w:rsid w:val="00C90FE3"/>
    <w:rsid w:val="00C9126E"/>
    <w:rsid w:val="00C91581"/>
    <w:rsid w:val="00C9165C"/>
    <w:rsid w:val="00C92263"/>
    <w:rsid w:val="00C92B18"/>
    <w:rsid w:val="00C92CC4"/>
    <w:rsid w:val="00C92D48"/>
    <w:rsid w:val="00C93290"/>
    <w:rsid w:val="00C952EB"/>
    <w:rsid w:val="00C95F57"/>
    <w:rsid w:val="00C96BC2"/>
    <w:rsid w:val="00C979FE"/>
    <w:rsid w:val="00C97B9E"/>
    <w:rsid w:val="00C97E28"/>
    <w:rsid w:val="00C97F44"/>
    <w:rsid w:val="00CA0FDE"/>
    <w:rsid w:val="00CA1C39"/>
    <w:rsid w:val="00CA2571"/>
    <w:rsid w:val="00CA2D1C"/>
    <w:rsid w:val="00CA2E65"/>
    <w:rsid w:val="00CA362C"/>
    <w:rsid w:val="00CA3A01"/>
    <w:rsid w:val="00CA3BF9"/>
    <w:rsid w:val="00CA3D4E"/>
    <w:rsid w:val="00CA406E"/>
    <w:rsid w:val="00CA44F9"/>
    <w:rsid w:val="00CA5E21"/>
    <w:rsid w:val="00CA7144"/>
    <w:rsid w:val="00CA78DB"/>
    <w:rsid w:val="00CB004F"/>
    <w:rsid w:val="00CB0542"/>
    <w:rsid w:val="00CB0DA2"/>
    <w:rsid w:val="00CB15E3"/>
    <w:rsid w:val="00CB1967"/>
    <w:rsid w:val="00CB42B9"/>
    <w:rsid w:val="00CB42C9"/>
    <w:rsid w:val="00CB4933"/>
    <w:rsid w:val="00CB57ED"/>
    <w:rsid w:val="00CB5C13"/>
    <w:rsid w:val="00CB6360"/>
    <w:rsid w:val="00CB678E"/>
    <w:rsid w:val="00CB70AB"/>
    <w:rsid w:val="00CC0E8D"/>
    <w:rsid w:val="00CC1F4C"/>
    <w:rsid w:val="00CC2815"/>
    <w:rsid w:val="00CC2A55"/>
    <w:rsid w:val="00CC2EAC"/>
    <w:rsid w:val="00CC33A3"/>
    <w:rsid w:val="00CC4D44"/>
    <w:rsid w:val="00CC5173"/>
    <w:rsid w:val="00CC58E2"/>
    <w:rsid w:val="00CC660F"/>
    <w:rsid w:val="00CC73D0"/>
    <w:rsid w:val="00CD1068"/>
    <w:rsid w:val="00CD196A"/>
    <w:rsid w:val="00CD277B"/>
    <w:rsid w:val="00CD27C3"/>
    <w:rsid w:val="00CD2D77"/>
    <w:rsid w:val="00CD2E49"/>
    <w:rsid w:val="00CD30E4"/>
    <w:rsid w:val="00CD34F8"/>
    <w:rsid w:val="00CD35D9"/>
    <w:rsid w:val="00CD45C7"/>
    <w:rsid w:val="00CD6643"/>
    <w:rsid w:val="00CD698E"/>
    <w:rsid w:val="00CD6E29"/>
    <w:rsid w:val="00CD6FB0"/>
    <w:rsid w:val="00CD7940"/>
    <w:rsid w:val="00CE0267"/>
    <w:rsid w:val="00CE0FE9"/>
    <w:rsid w:val="00CE14F6"/>
    <w:rsid w:val="00CE2272"/>
    <w:rsid w:val="00CE35A0"/>
    <w:rsid w:val="00CE370F"/>
    <w:rsid w:val="00CE4882"/>
    <w:rsid w:val="00CE4A80"/>
    <w:rsid w:val="00CE533E"/>
    <w:rsid w:val="00CE68D0"/>
    <w:rsid w:val="00CE691F"/>
    <w:rsid w:val="00CE692E"/>
    <w:rsid w:val="00CE6B42"/>
    <w:rsid w:val="00CE741B"/>
    <w:rsid w:val="00CF0F4E"/>
    <w:rsid w:val="00CF1C32"/>
    <w:rsid w:val="00CF30BC"/>
    <w:rsid w:val="00CF522B"/>
    <w:rsid w:val="00CF5B00"/>
    <w:rsid w:val="00CF5FA4"/>
    <w:rsid w:val="00CF64CB"/>
    <w:rsid w:val="00CF6BB4"/>
    <w:rsid w:val="00CF73B6"/>
    <w:rsid w:val="00CF796D"/>
    <w:rsid w:val="00CF7BCD"/>
    <w:rsid w:val="00D00149"/>
    <w:rsid w:val="00D00B2F"/>
    <w:rsid w:val="00D00C79"/>
    <w:rsid w:val="00D00CEB"/>
    <w:rsid w:val="00D01272"/>
    <w:rsid w:val="00D0146F"/>
    <w:rsid w:val="00D014A8"/>
    <w:rsid w:val="00D01A04"/>
    <w:rsid w:val="00D02DBD"/>
    <w:rsid w:val="00D03409"/>
    <w:rsid w:val="00D0340A"/>
    <w:rsid w:val="00D03AFD"/>
    <w:rsid w:val="00D04255"/>
    <w:rsid w:val="00D046E6"/>
    <w:rsid w:val="00D04898"/>
    <w:rsid w:val="00D04A66"/>
    <w:rsid w:val="00D04C6A"/>
    <w:rsid w:val="00D063E7"/>
    <w:rsid w:val="00D06F91"/>
    <w:rsid w:val="00D076D0"/>
    <w:rsid w:val="00D07723"/>
    <w:rsid w:val="00D07E51"/>
    <w:rsid w:val="00D11FC4"/>
    <w:rsid w:val="00D12066"/>
    <w:rsid w:val="00D121B3"/>
    <w:rsid w:val="00D12230"/>
    <w:rsid w:val="00D125D8"/>
    <w:rsid w:val="00D1301E"/>
    <w:rsid w:val="00D13B45"/>
    <w:rsid w:val="00D14F6E"/>
    <w:rsid w:val="00D15237"/>
    <w:rsid w:val="00D15C49"/>
    <w:rsid w:val="00D1636F"/>
    <w:rsid w:val="00D2078F"/>
    <w:rsid w:val="00D20F29"/>
    <w:rsid w:val="00D21403"/>
    <w:rsid w:val="00D216BD"/>
    <w:rsid w:val="00D223BC"/>
    <w:rsid w:val="00D235F4"/>
    <w:rsid w:val="00D23834"/>
    <w:rsid w:val="00D23873"/>
    <w:rsid w:val="00D2562C"/>
    <w:rsid w:val="00D25A49"/>
    <w:rsid w:val="00D26D3D"/>
    <w:rsid w:val="00D26E00"/>
    <w:rsid w:val="00D26EEB"/>
    <w:rsid w:val="00D27BDB"/>
    <w:rsid w:val="00D27FFC"/>
    <w:rsid w:val="00D31551"/>
    <w:rsid w:val="00D316E0"/>
    <w:rsid w:val="00D31B10"/>
    <w:rsid w:val="00D32060"/>
    <w:rsid w:val="00D320B1"/>
    <w:rsid w:val="00D323D2"/>
    <w:rsid w:val="00D32993"/>
    <w:rsid w:val="00D33649"/>
    <w:rsid w:val="00D348A0"/>
    <w:rsid w:val="00D3498A"/>
    <w:rsid w:val="00D34991"/>
    <w:rsid w:val="00D34E9E"/>
    <w:rsid w:val="00D35509"/>
    <w:rsid w:val="00D37597"/>
    <w:rsid w:val="00D40609"/>
    <w:rsid w:val="00D40841"/>
    <w:rsid w:val="00D408A6"/>
    <w:rsid w:val="00D416DA"/>
    <w:rsid w:val="00D4271F"/>
    <w:rsid w:val="00D4364B"/>
    <w:rsid w:val="00D440C1"/>
    <w:rsid w:val="00D44538"/>
    <w:rsid w:val="00D45D72"/>
    <w:rsid w:val="00D45F46"/>
    <w:rsid w:val="00D4610F"/>
    <w:rsid w:val="00D46A98"/>
    <w:rsid w:val="00D50277"/>
    <w:rsid w:val="00D51B92"/>
    <w:rsid w:val="00D5201E"/>
    <w:rsid w:val="00D53052"/>
    <w:rsid w:val="00D535F1"/>
    <w:rsid w:val="00D542A3"/>
    <w:rsid w:val="00D54955"/>
    <w:rsid w:val="00D54BCF"/>
    <w:rsid w:val="00D54E1E"/>
    <w:rsid w:val="00D56740"/>
    <w:rsid w:val="00D56CE5"/>
    <w:rsid w:val="00D57AE7"/>
    <w:rsid w:val="00D6205A"/>
    <w:rsid w:val="00D6274A"/>
    <w:rsid w:val="00D62CC3"/>
    <w:rsid w:val="00D644D7"/>
    <w:rsid w:val="00D65722"/>
    <w:rsid w:val="00D66226"/>
    <w:rsid w:val="00D66B12"/>
    <w:rsid w:val="00D66CA0"/>
    <w:rsid w:val="00D677C1"/>
    <w:rsid w:val="00D67EDD"/>
    <w:rsid w:val="00D70956"/>
    <w:rsid w:val="00D70F5C"/>
    <w:rsid w:val="00D7168B"/>
    <w:rsid w:val="00D74780"/>
    <w:rsid w:val="00D75087"/>
    <w:rsid w:val="00D75A3F"/>
    <w:rsid w:val="00D7614A"/>
    <w:rsid w:val="00D762D9"/>
    <w:rsid w:val="00D7721A"/>
    <w:rsid w:val="00D7732C"/>
    <w:rsid w:val="00D7749D"/>
    <w:rsid w:val="00D775AC"/>
    <w:rsid w:val="00D775EC"/>
    <w:rsid w:val="00D814E9"/>
    <w:rsid w:val="00D81B09"/>
    <w:rsid w:val="00D838AB"/>
    <w:rsid w:val="00D83E98"/>
    <w:rsid w:val="00D8467B"/>
    <w:rsid w:val="00D84720"/>
    <w:rsid w:val="00D851F7"/>
    <w:rsid w:val="00D852D7"/>
    <w:rsid w:val="00D8555E"/>
    <w:rsid w:val="00D86169"/>
    <w:rsid w:val="00D8639D"/>
    <w:rsid w:val="00D869AB"/>
    <w:rsid w:val="00D90365"/>
    <w:rsid w:val="00D9145D"/>
    <w:rsid w:val="00D92692"/>
    <w:rsid w:val="00D93629"/>
    <w:rsid w:val="00D93AFA"/>
    <w:rsid w:val="00D93C64"/>
    <w:rsid w:val="00D93E7A"/>
    <w:rsid w:val="00D94595"/>
    <w:rsid w:val="00D94D4A"/>
    <w:rsid w:val="00D9542D"/>
    <w:rsid w:val="00D955D7"/>
    <w:rsid w:val="00DA17A9"/>
    <w:rsid w:val="00DA1AD4"/>
    <w:rsid w:val="00DA3BB1"/>
    <w:rsid w:val="00DA4985"/>
    <w:rsid w:val="00DA5390"/>
    <w:rsid w:val="00DA5F2D"/>
    <w:rsid w:val="00DA67F6"/>
    <w:rsid w:val="00DA6B8E"/>
    <w:rsid w:val="00DA7106"/>
    <w:rsid w:val="00DA7346"/>
    <w:rsid w:val="00DB0089"/>
    <w:rsid w:val="00DB06A4"/>
    <w:rsid w:val="00DB184D"/>
    <w:rsid w:val="00DB1927"/>
    <w:rsid w:val="00DB2D15"/>
    <w:rsid w:val="00DB3967"/>
    <w:rsid w:val="00DB44BD"/>
    <w:rsid w:val="00DB47F2"/>
    <w:rsid w:val="00DB5E59"/>
    <w:rsid w:val="00DB62E5"/>
    <w:rsid w:val="00DB7279"/>
    <w:rsid w:val="00DC00E0"/>
    <w:rsid w:val="00DC0B5A"/>
    <w:rsid w:val="00DC15B0"/>
    <w:rsid w:val="00DC181C"/>
    <w:rsid w:val="00DC193A"/>
    <w:rsid w:val="00DC30ED"/>
    <w:rsid w:val="00DC36D3"/>
    <w:rsid w:val="00DC37C1"/>
    <w:rsid w:val="00DC50BF"/>
    <w:rsid w:val="00DC57E9"/>
    <w:rsid w:val="00DC5890"/>
    <w:rsid w:val="00DC63C7"/>
    <w:rsid w:val="00DC64EA"/>
    <w:rsid w:val="00DC7F12"/>
    <w:rsid w:val="00DD040E"/>
    <w:rsid w:val="00DD0D83"/>
    <w:rsid w:val="00DD0E28"/>
    <w:rsid w:val="00DD0FB6"/>
    <w:rsid w:val="00DD10CA"/>
    <w:rsid w:val="00DD16C7"/>
    <w:rsid w:val="00DD2246"/>
    <w:rsid w:val="00DD3826"/>
    <w:rsid w:val="00DD509A"/>
    <w:rsid w:val="00DD530D"/>
    <w:rsid w:val="00DD592D"/>
    <w:rsid w:val="00DD5AA3"/>
    <w:rsid w:val="00DD5E0F"/>
    <w:rsid w:val="00DD6B4F"/>
    <w:rsid w:val="00DD6F8A"/>
    <w:rsid w:val="00DD6F90"/>
    <w:rsid w:val="00DD720D"/>
    <w:rsid w:val="00DE0416"/>
    <w:rsid w:val="00DE1DF1"/>
    <w:rsid w:val="00DE276C"/>
    <w:rsid w:val="00DE2B1C"/>
    <w:rsid w:val="00DE3ED7"/>
    <w:rsid w:val="00DE465F"/>
    <w:rsid w:val="00DE4EEA"/>
    <w:rsid w:val="00DE5B42"/>
    <w:rsid w:val="00DE602A"/>
    <w:rsid w:val="00DE6A3D"/>
    <w:rsid w:val="00DE713B"/>
    <w:rsid w:val="00DF0380"/>
    <w:rsid w:val="00DF088B"/>
    <w:rsid w:val="00DF0D33"/>
    <w:rsid w:val="00DF0DEC"/>
    <w:rsid w:val="00DF1590"/>
    <w:rsid w:val="00DF24A5"/>
    <w:rsid w:val="00DF3E80"/>
    <w:rsid w:val="00DF58B4"/>
    <w:rsid w:val="00DF6052"/>
    <w:rsid w:val="00DF70D4"/>
    <w:rsid w:val="00DF72FA"/>
    <w:rsid w:val="00DF7A19"/>
    <w:rsid w:val="00E001BE"/>
    <w:rsid w:val="00E014F5"/>
    <w:rsid w:val="00E0239E"/>
    <w:rsid w:val="00E0241B"/>
    <w:rsid w:val="00E042F0"/>
    <w:rsid w:val="00E04955"/>
    <w:rsid w:val="00E052C8"/>
    <w:rsid w:val="00E05D61"/>
    <w:rsid w:val="00E067BE"/>
    <w:rsid w:val="00E068B6"/>
    <w:rsid w:val="00E07466"/>
    <w:rsid w:val="00E07751"/>
    <w:rsid w:val="00E077D7"/>
    <w:rsid w:val="00E11003"/>
    <w:rsid w:val="00E12186"/>
    <w:rsid w:val="00E1388D"/>
    <w:rsid w:val="00E14EF5"/>
    <w:rsid w:val="00E14FE3"/>
    <w:rsid w:val="00E160DC"/>
    <w:rsid w:val="00E174C9"/>
    <w:rsid w:val="00E1758A"/>
    <w:rsid w:val="00E1785E"/>
    <w:rsid w:val="00E17FA5"/>
    <w:rsid w:val="00E205CD"/>
    <w:rsid w:val="00E21161"/>
    <w:rsid w:val="00E21460"/>
    <w:rsid w:val="00E217EC"/>
    <w:rsid w:val="00E22DFC"/>
    <w:rsid w:val="00E230CE"/>
    <w:rsid w:val="00E23919"/>
    <w:rsid w:val="00E24308"/>
    <w:rsid w:val="00E25979"/>
    <w:rsid w:val="00E26674"/>
    <w:rsid w:val="00E268D0"/>
    <w:rsid w:val="00E27043"/>
    <w:rsid w:val="00E273A9"/>
    <w:rsid w:val="00E27686"/>
    <w:rsid w:val="00E2779C"/>
    <w:rsid w:val="00E30AB9"/>
    <w:rsid w:val="00E31356"/>
    <w:rsid w:val="00E31576"/>
    <w:rsid w:val="00E3210B"/>
    <w:rsid w:val="00E325CB"/>
    <w:rsid w:val="00E32688"/>
    <w:rsid w:val="00E34200"/>
    <w:rsid w:val="00E36492"/>
    <w:rsid w:val="00E36A8A"/>
    <w:rsid w:val="00E36FA6"/>
    <w:rsid w:val="00E3772C"/>
    <w:rsid w:val="00E37797"/>
    <w:rsid w:val="00E37BFC"/>
    <w:rsid w:val="00E40018"/>
    <w:rsid w:val="00E4030F"/>
    <w:rsid w:val="00E413EB"/>
    <w:rsid w:val="00E41668"/>
    <w:rsid w:val="00E41B2C"/>
    <w:rsid w:val="00E41F06"/>
    <w:rsid w:val="00E42041"/>
    <w:rsid w:val="00E421AC"/>
    <w:rsid w:val="00E42AC6"/>
    <w:rsid w:val="00E43C87"/>
    <w:rsid w:val="00E445BB"/>
    <w:rsid w:val="00E44A17"/>
    <w:rsid w:val="00E44DBC"/>
    <w:rsid w:val="00E4593F"/>
    <w:rsid w:val="00E45CAB"/>
    <w:rsid w:val="00E507B2"/>
    <w:rsid w:val="00E50948"/>
    <w:rsid w:val="00E515CB"/>
    <w:rsid w:val="00E51805"/>
    <w:rsid w:val="00E5696B"/>
    <w:rsid w:val="00E5755A"/>
    <w:rsid w:val="00E57950"/>
    <w:rsid w:val="00E63498"/>
    <w:rsid w:val="00E64D25"/>
    <w:rsid w:val="00E64D5C"/>
    <w:rsid w:val="00E64F29"/>
    <w:rsid w:val="00E6533C"/>
    <w:rsid w:val="00E6677E"/>
    <w:rsid w:val="00E668B7"/>
    <w:rsid w:val="00E67605"/>
    <w:rsid w:val="00E67892"/>
    <w:rsid w:val="00E67D90"/>
    <w:rsid w:val="00E71A4C"/>
    <w:rsid w:val="00E7365F"/>
    <w:rsid w:val="00E73829"/>
    <w:rsid w:val="00E73C33"/>
    <w:rsid w:val="00E7482C"/>
    <w:rsid w:val="00E74C9E"/>
    <w:rsid w:val="00E75ECA"/>
    <w:rsid w:val="00E802A4"/>
    <w:rsid w:val="00E8135F"/>
    <w:rsid w:val="00E814DF"/>
    <w:rsid w:val="00E831EB"/>
    <w:rsid w:val="00E83A6B"/>
    <w:rsid w:val="00E86351"/>
    <w:rsid w:val="00E86EDC"/>
    <w:rsid w:val="00E874BD"/>
    <w:rsid w:val="00E90762"/>
    <w:rsid w:val="00E90DE6"/>
    <w:rsid w:val="00E90EF1"/>
    <w:rsid w:val="00E912FF"/>
    <w:rsid w:val="00E91BDA"/>
    <w:rsid w:val="00E92846"/>
    <w:rsid w:val="00E942B4"/>
    <w:rsid w:val="00E9504D"/>
    <w:rsid w:val="00E95E81"/>
    <w:rsid w:val="00E96E77"/>
    <w:rsid w:val="00E97583"/>
    <w:rsid w:val="00E97C43"/>
    <w:rsid w:val="00EA0AE0"/>
    <w:rsid w:val="00EA0BB5"/>
    <w:rsid w:val="00EA2765"/>
    <w:rsid w:val="00EA2902"/>
    <w:rsid w:val="00EA3728"/>
    <w:rsid w:val="00EA38A9"/>
    <w:rsid w:val="00EA3D3F"/>
    <w:rsid w:val="00EA3DEE"/>
    <w:rsid w:val="00EA4696"/>
    <w:rsid w:val="00EA5C69"/>
    <w:rsid w:val="00EA637F"/>
    <w:rsid w:val="00EA69CD"/>
    <w:rsid w:val="00EA780E"/>
    <w:rsid w:val="00EB0A98"/>
    <w:rsid w:val="00EB2DF0"/>
    <w:rsid w:val="00EB4BC3"/>
    <w:rsid w:val="00EB57A5"/>
    <w:rsid w:val="00EB6673"/>
    <w:rsid w:val="00EB6A1F"/>
    <w:rsid w:val="00EB6E96"/>
    <w:rsid w:val="00EB7049"/>
    <w:rsid w:val="00EB745E"/>
    <w:rsid w:val="00EB7B31"/>
    <w:rsid w:val="00EB7CC7"/>
    <w:rsid w:val="00EC1188"/>
    <w:rsid w:val="00EC119B"/>
    <w:rsid w:val="00EC1658"/>
    <w:rsid w:val="00EC2FEF"/>
    <w:rsid w:val="00EC3948"/>
    <w:rsid w:val="00EC430C"/>
    <w:rsid w:val="00EC57DC"/>
    <w:rsid w:val="00EC5CD2"/>
    <w:rsid w:val="00EC63D9"/>
    <w:rsid w:val="00EC7A2B"/>
    <w:rsid w:val="00EC7BB4"/>
    <w:rsid w:val="00EC7F1D"/>
    <w:rsid w:val="00ED0CEA"/>
    <w:rsid w:val="00ED1136"/>
    <w:rsid w:val="00ED3C7C"/>
    <w:rsid w:val="00ED3F99"/>
    <w:rsid w:val="00ED3FB3"/>
    <w:rsid w:val="00ED40B5"/>
    <w:rsid w:val="00ED4416"/>
    <w:rsid w:val="00ED4BC3"/>
    <w:rsid w:val="00ED4C7E"/>
    <w:rsid w:val="00ED5726"/>
    <w:rsid w:val="00ED592C"/>
    <w:rsid w:val="00ED5B3A"/>
    <w:rsid w:val="00ED5E59"/>
    <w:rsid w:val="00ED61A0"/>
    <w:rsid w:val="00ED640B"/>
    <w:rsid w:val="00ED78F3"/>
    <w:rsid w:val="00ED7EC2"/>
    <w:rsid w:val="00EE1147"/>
    <w:rsid w:val="00EE2788"/>
    <w:rsid w:val="00EE288B"/>
    <w:rsid w:val="00EE2912"/>
    <w:rsid w:val="00EE3061"/>
    <w:rsid w:val="00EE475C"/>
    <w:rsid w:val="00EE4A7E"/>
    <w:rsid w:val="00EE4D21"/>
    <w:rsid w:val="00EE4ED2"/>
    <w:rsid w:val="00EE5344"/>
    <w:rsid w:val="00EE555D"/>
    <w:rsid w:val="00EE5CAB"/>
    <w:rsid w:val="00EE633E"/>
    <w:rsid w:val="00EE676A"/>
    <w:rsid w:val="00EE6D10"/>
    <w:rsid w:val="00EE7E5D"/>
    <w:rsid w:val="00EF007F"/>
    <w:rsid w:val="00EF0992"/>
    <w:rsid w:val="00EF1E36"/>
    <w:rsid w:val="00EF2376"/>
    <w:rsid w:val="00EF46FE"/>
    <w:rsid w:val="00EF4B50"/>
    <w:rsid w:val="00EF4E99"/>
    <w:rsid w:val="00EF4F32"/>
    <w:rsid w:val="00EF6218"/>
    <w:rsid w:val="00EF6FB1"/>
    <w:rsid w:val="00EF770E"/>
    <w:rsid w:val="00F006DF"/>
    <w:rsid w:val="00F00745"/>
    <w:rsid w:val="00F00B74"/>
    <w:rsid w:val="00F00D3A"/>
    <w:rsid w:val="00F015B0"/>
    <w:rsid w:val="00F01DFD"/>
    <w:rsid w:val="00F024DE"/>
    <w:rsid w:val="00F0261F"/>
    <w:rsid w:val="00F0349F"/>
    <w:rsid w:val="00F0387C"/>
    <w:rsid w:val="00F04347"/>
    <w:rsid w:val="00F046F4"/>
    <w:rsid w:val="00F0664D"/>
    <w:rsid w:val="00F06B78"/>
    <w:rsid w:val="00F06F97"/>
    <w:rsid w:val="00F10678"/>
    <w:rsid w:val="00F10BD0"/>
    <w:rsid w:val="00F10D5F"/>
    <w:rsid w:val="00F10DE5"/>
    <w:rsid w:val="00F10F34"/>
    <w:rsid w:val="00F1106D"/>
    <w:rsid w:val="00F11664"/>
    <w:rsid w:val="00F1177C"/>
    <w:rsid w:val="00F13B58"/>
    <w:rsid w:val="00F15A1B"/>
    <w:rsid w:val="00F16AE2"/>
    <w:rsid w:val="00F177CD"/>
    <w:rsid w:val="00F17C30"/>
    <w:rsid w:val="00F17D91"/>
    <w:rsid w:val="00F200CD"/>
    <w:rsid w:val="00F20B4E"/>
    <w:rsid w:val="00F221D7"/>
    <w:rsid w:val="00F22678"/>
    <w:rsid w:val="00F22F76"/>
    <w:rsid w:val="00F23D27"/>
    <w:rsid w:val="00F23EE6"/>
    <w:rsid w:val="00F242B7"/>
    <w:rsid w:val="00F243EC"/>
    <w:rsid w:val="00F24721"/>
    <w:rsid w:val="00F269B9"/>
    <w:rsid w:val="00F3033E"/>
    <w:rsid w:val="00F30E3C"/>
    <w:rsid w:val="00F31D08"/>
    <w:rsid w:val="00F3215A"/>
    <w:rsid w:val="00F32381"/>
    <w:rsid w:val="00F3356B"/>
    <w:rsid w:val="00F34FFE"/>
    <w:rsid w:val="00F36310"/>
    <w:rsid w:val="00F36FD5"/>
    <w:rsid w:val="00F37080"/>
    <w:rsid w:val="00F37E30"/>
    <w:rsid w:val="00F41E45"/>
    <w:rsid w:val="00F42438"/>
    <w:rsid w:val="00F433B6"/>
    <w:rsid w:val="00F434A4"/>
    <w:rsid w:val="00F43B60"/>
    <w:rsid w:val="00F43FF5"/>
    <w:rsid w:val="00F44F86"/>
    <w:rsid w:val="00F45D45"/>
    <w:rsid w:val="00F4675B"/>
    <w:rsid w:val="00F4708C"/>
    <w:rsid w:val="00F50EC1"/>
    <w:rsid w:val="00F513E0"/>
    <w:rsid w:val="00F51756"/>
    <w:rsid w:val="00F53245"/>
    <w:rsid w:val="00F53620"/>
    <w:rsid w:val="00F543AC"/>
    <w:rsid w:val="00F5440E"/>
    <w:rsid w:val="00F54497"/>
    <w:rsid w:val="00F54B43"/>
    <w:rsid w:val="00F54BED"/>
    <w:rsid w:val="00F55550"/>
    <w:rsid w:val="00F55661"/>
    <w:rsid w:val="00F55A2B"/>
    <w:rsid w:val="00F55EE8"/>
    <w:rsid w:val="00F56B0A"/>
    <w:rsid w:val="00F579C8"/>
    <w:rsid w:val="00F60270"/>
    <w:rsid w:val="00F604FC"/>
    <w:rsid w:val="00F60DA6"/>
    <w:rsid w:val="00F61056"/>
    <w:rsid w:val="00F61AE5"/>
    <w:rsid w:val="00F6251B"/>
    <w:rsid w:val="00F62FB8"/>
    <w:rsid w:val="00F63080"/>
    <w:rsid w:val="00F63D52"/>
    <w:rsid w:val="00F640DB"/>
    <w:rsid w:val="00F64472"/>
    <w:rsid w:val="00F65B63"/>
    <w:rsid w:val="00F660D0"/>
    <w:rsid w:val="00F66C20"/>
    <w:rsid w:val="00F66DD8"/>
    <w:rsid w:val="00F671E2"/>
    <w:rsid w:val="00F70B7B"/>
    <w:rsid w:val="00F713C8"/>
    <w:rsid w:val="00F72834"/>
    <w:rsid w:val="00F74569"/>
    <w:rsid w:val="00F74C1A"/>
    <w:rsid w:val="00F75287"/>
    <w:rsid w:val="00F753A8"/>
    <w:rsid w:val="00F76CA1"/>
    <w:rsid w:val="00F773E8"/>
    <w:rsid w:val="00F7740A"/>
    <w:rsid w:val="00F776A8"/>
    <w:rsid w:val="00F81307"/>
    <w:rsid w:val="00F81592"/>
    <w:rsid w:val="00F8303B"/>
    <w:rsid w:val="00F835FC"/>
    <w:rsid w:val="00F84399"/>
    <w:rsid w:val="00F8469C"/>
    <w:rsid w:val="00F84CB5"/>
    <w:rsid w:val="00F8578A"/>
    <w:rsid w:val="00F858C7"/>
    <w:rsid w:val="00F85FF5"/>
    <w:rsid w:val="00F86BFE"/>
    <w:rsid w:val="00F8789F"/>
    <w:rsid w:val="00F90816"/>
    <w:rsid w:val="00F911D5"/>
    <w:rsid w:val="00F91D48"/>
    <w:rsid w:val="00F92309"/>
    <w:rsid w:val="00F92C01"/>
    <w:rsid w:val="00F93B3E"/>
    <w:rsid w:val="00F95A95"/>
    <w:rsid w:val="00F97ED2"/>
    <w:rsid w:val="00FA00B2"/>
    <w:rsid w:val="00FA16BE"/>
    <w:rsid w:val="00FA198F"/>
    <w:rsid w:val="00FA25C4"/>
    <w:rsid w:val="00FA5381"/>
    <w:rsid w:val="00FA5F90"/>
    <w:rsid w:val="00FA60F2"/>
    <w:rsid w:val="00FA69E8"/>
    <w:rsid w:val="00FA7BFD"/>
    <w:rsid w:val="00FB099C"/>
    <w:rsid w:val="00FB0BAB"/>
    <w:rsid w:val="00FB1917"/>
    <w:rsid w:val="00FB22E8"/>
    <w:rsid w:val="00FB3528"/>
    <w:rsid w:val="00FB3A0A"/>
    <w:rsid w:val="00FB50B6"/>
    <w:rsid w:val="00FB5F2D"/>
    <w:rsid w:val="00FB62CB"/>
    <w:rsid w:val="00FB6552"/>
    <w:rsid w:val="00FB6EC8"/>
    <w:rsid w:val="00FB7B3F"/>
    <w:rsid w:val="00FC0702"/>
    <w:rsid w:val="00FC07E5"/>
    <w:rsid w:val="00FC0B56"/>
    <w:rsid w:val="00FC0C09"/>
    <w:rsid w:val="00FC2A97"/>
    <w:rsid w:val="00FC380E"/>
    <w:rsid w:val="00FC38BC"/>
    <w:rsid w:val="00FC4E69"/>
    <w:rsid w:val="00FC6278"/>
    <w:rsid w:val="00FC6E94"/>
    <w:rsid w:val="00FC6FC2"/>
    <w:rsid w:val="00FC7071"/>
    <w:rsid w:val="00FC729B"/>
    <w:rsid w:val="00FC7D71"/>
    <w:rsid w:val="00FC7E55"/>
    <w:rsid w:val="00FD00D1"/>
    <w:rsid w:val="00FD071F"/>
    <w:rsid w:val="00FD0C7C"/>
    <w:rsid w:val="00FD13D4"/>
    <w:rsid w:val="00FD1F08"/>
    <w:rsid w:val="00FD2B9F"/>
    <w:rsid w:val="00FD3937"/>
    <w:rsid w:val="00FD4406"/>
    <w:rsid w:val="00FD5285"/>
    <w:rsid w:val="00FD5541"/>
    <w:rsid w:val="00FD56B5"/>
    <w:rsid w:val="00FD6956"/>
    <w:rsid w:val="00FD6BEA"/>
    <w:rsid w:val="00FD7738"/>
    <w:rsid w:val="00FE0E07"/>
    <w:rsid w:val="00FE14C1"/>
    <w:rsid w:val="00FE1807"/>
    <w:rsid w:val="00FE225B"/>
    <w:rsid w:val="00FE3CE5"/>
    <w:rsid w:val="00FE3DD0"/>
    <w:rsid w:val="00FE3F07"/>
    <w:rsid w:val="00FE429F"/>
    <w:rsid w:val="00FE517C"/>
    <w:rsid w:val="00FE786C"/>
    <w:rsid w:val="00FF032F"/>
    <w:rsid w:val="00FF080E"/>
    <w:rsid w:val="00FF0827"/>
    <w:rsid w:val="00FF082A"/>
    <w:rsid w:val="00FF097D"/>
    <w:rsid w:val="00FF0C92"/>
    <w:rsid w:val="00FF13D3"/>
    <w:rsid w:val="00FF1891"/>
    <w:rsid w:val="00FF2B8A"/>
    <w:rsid w:val="00FF3207"/>
    <w:rsid w:val="00FF3813"/>
    <w:rsid w:val="00FF38C5"/>
    <w:rsid w:val="00FF4767"/>
    <w:rsid w:val="00FF4C11"/>
    <w:rsid w:val="00FF5239"/>
    <w:rsid w:val="00FF53A2"/>
    <w:rsid w:val="00FF55F9"/>
    <w:rsid w:val="00FF5920"/>
    <w:rsid w:val="00FF5A20"/>
    <w:rsid w:val="00FF610E"/>
    <w:rsid w:val="00FF6294"/>
    <w:rsid w:val="00FF62D6"/>
    <w:rsid w:val="00FF65F3"/>
    <w:rsid w:val="00FF6F6B"/>
    <w:rsid w:val="00FF75CE"/>
    <w:rsid w:val="00FF7D3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000F99"/>
  <w15:docId w15:val="{E4C4A4EA-022F-4FB6-B591-466023143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hr-HR" w:eastAsia="hr-H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semiHidden="1" w:uiPriority="0" w:unhideWhenUsed="1"/>
    <w:lsdException w:name="List 5" w:locked="1"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semiHidden="1" w:uiPriority="0" w:unhideWhenUsed="1"/>
    <w:lsdException w:name="Date" w:locked="1" w:semiHidden="1" w:uiPriority="0" w:unhideWhenUsed="1"/>
    <w:lsdException w:name="Body Text First Indent" w:locked="1"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829"/>
    <w:rPr>
      <w:sz w:val="24"/>
      <w:szCs w:val="24"/>
      <w:lang w:val="en-US" w:eastAsia="en-US"/>
    </w:rPr>
  </w:style>
  <w:style w:type="paragraph" w:styleId="Heading1">
    <w:name w:val="heading 1"/>
    <w:basedOn w:val="Normal"/>
    <w:next w:val="Normal"/>
    <w:link w:val="Heading1Char"/>
    <w:uiPriority w:val="99"/>
    <w:qFormat/>
    <w:rsid w:val="00422186"/>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422186"/>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422186"/>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cs="Arial"/>
      <w:b/>
      <w:bCs/>
      <w:kern w:val="32"/>
      <w:sz w:val="32"/>
      <w:szCs w:val="32"/>
      <w:lang w:val="en-US" w:eastAsia="en-US"/>
    </w:rPr>
  </w:style>
  <w:style w:type="character" w:customStyle="1" w:styleId="Heading2Char">
    <w:name w:val="Heading 2 Char"/>
    <w:basedOn w:val="DefaultParagraphFont"/>
    <w:link w:val="Heading2"/>
    <w:uiPriority w:val="99"/>
    <w:locked/>
    <w:rPr>
      <w:rFonts w:ascii="Arial" w:hAnsi="Arial" w:cs="Arial"/>
      <w:b/>
      <w:bCs/>
      <w:i/>
      <w:iCs/>
      <w:sz w:val="28"/>
      <w:szCs w:val="28"/>
      <w:lang w:val="en-US" w:eastAsia="en-US"/>
    </w:rPr>
  </w:style>
  <w:style w:type="character" w:customStyle="1" w:styleId="Heading3Char">
    <w:name w:val="Heading 3 Char"/>
    <w:basedOn w:val="DefaultParagraphFont"/>
    <w:link w:val="Heading3"/>
    <w:uiPriority w:val="99"/>
    <w:locked/>
    <w:rPr>
      <w:rFonts w:ascii="Arial" w:hAnsi="Arial" w:cs="Arial"/>
      <w:b/>
      <w:bCs/>
      <w:sz w:val="26"/>
      <w:szCs w:val="26"/>
      <w:lang w:val="en-US" w:eastAsia="en-US"/>
    </w:rPr>
  </w:style>
  <w:style w:type="table" w:styleId="TableGrid">
    <w:name w:val="Table Grid"/>
    <w:basedOn w:val="TableNormal"/>
    <w:uiPriority w:val="39"/>
    <w:rsid w:val="0061730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CJENSKIRADOVI3Podpodnaslovpoglavlja">
    <w:name w:val="OCJENSKI_RADOVI_3_Podpodnaslov_poglavlja"/>
    <w:basedOn w:val="OCJENSKIRADOVIFontParagraph"/>
    <w:next w:val="Normal"/>
    <w:uiPriority w:val="99"/>
    <w:rsid w:val="000771D9"/>
    <w:pPr>
      <w:numPr>
        <w:ilvl w:val="2"/>
        <w:numId w:val="6"/>
      </w:numPr>
      <w:spacing w:after="120"/>
    </w:pPr>
    <w:rPr>
      <w:i/>
      <w:iCs/>
    </w:rPr>
  </w:style>
  <w:style w:type="paragraph" w:customStyle="1" w:styleId="OCJENSKIRADOVIReferencija">
    <w:name w:val="OCJENSKI_RADOVI_Referencija"/>
    <w:basedOn w:val="OCJENSKIRADOVIFontParagraph"/>
    <w:uiPriority w:val="99"/>
    <w:rsid w:val="007416FA"/>
    <w:pPr>
      <w:numPr>
        <w:numId w:val="4"/>
      </w:numPr>
      <w:spacing w:line="360" w:lineRule="auto"/>
      <w:ind w:left="454" w:hanging="454"/>
    </w:pPr>
    <w:rPr>
      <w:sz w:val="22"/>
      <w:szCs w:val="22"/>
    </w:rPr>
  </w:style>
  <w:style w:type="paragraph" w:customStyle="1" w:styleId="OCJENSKIRADOVIHeader">
    <w:name w:val="OCJENSKI_RADOVI_Header"/>
    <w:basedOn w:val="OCJENSKIRADOVIFontParagraph"/>
    <w:uiPriority w:val="99"/>
    <w:rsid w:val="00F63080"/>
    <w:pPr>
      <w:tabs>
        <w:tab w:val="right" w:pos="9072"/>
      </w:tabs>
    </w:pPr>
    <w:rPr>
      <w:b/>
      <w:bCs/>
      <w:sz w:val="20"/>
      <w:szCs w:val="20"/>
    </w:rPr>
  </w:style>
  <w:style w:type="paragraph" w:customStyle="1" w:styleId="OCJENSKIRADOVIOdlomak1PRVIODLOMAK">
    <w:name w:val="OCJENSKI_RADOVI_Odlomak_1_PRVI_ODLOMAK"/>
    <w:basedOn w:val="OCJENSKIRADOVIFontParagraph"/>
    <w:next w:val="OCJENSKIRADOVIOdlomak2OSTALIODLOMCI"/>
    <w:link w:val="OCJENSKIRADOVIOdlomak1PRVIODLOMAKChar"/>
    <w:uiPriority w:val="99"/>
    <w:rsid w:val="0009307D"/>
    <w:pPr>
      <w:spacing w:line="360" w:lineRule="auto"/>
      <w:jc w:val="both"/>
    </w:pPr>
  </w:style>
  <w:style w:type="paragraph" w:customStyle="1" w:styleId="OCJENSKIRADOVIOdlomak2OSTALIODLOMCI">
    <w:name w:val="OCJENSKI_RADOVI_Odlomak_2_OSTALI_ODLOMCI"/>
    <w:basedOn w:val="OCJENSKIRADOVIOdlomak1PRVIODLOMAK"/>
    <w:uiPriority w:val="99"/>
    <w:rsid w:val="00CC73D0"/>
    <w:pPr>
      <w:ind w:firstLine="340"/>
    </w:pPr>
  </w:style>
  <w:style w:type="paragraph" w:customStyle="1" w:styleId="CCAReference">
    <w:name w:val="CCA_Reference"/>
    <w:basedOn w:val="Normal"/>
    <w:uiPriority w:val="99"/>
    <w:rsid w:val="00EB7CC7"/>
    <w:pPr>
      <w:widowControl w:val="0"/>
      <w:numPr>
        <w:numId w:val="5"/>
      </w:numPr>
      <w:tabs>
        <w:tab w:val="left" w:pos="340"/>
      </w:tabs>
      <w:autoSpaceDE w:val="0"/>
      <w:autoSpaceDN w:val="0"/>
      <w:adjustRightInd w:val="0"/>
      <w:spacing w:line="200" w:lineRule="exact"/>
      <w:ind w:left="340" w:hanging="170"/>
      <w:jc w:val="both"/>
    </w:pPr>
    <w:rPr>
      <w:sz w:val="16"/>
      <w:szCs w:val="16"/>
    </w:rPr>
  </w:style>
  <w:style w:type="paragraph" w:customStyle="1" w:styleId="OCJENSKIRADOVI1Naslovpoglavlja">
    <w:name w:val="OCJENSKI_RADOVI_1_Naslov_poglavlja"/>
    <w:basedOn w:val="OCJENSKIRADOVI0Naslovsadrzaja"/>
    <w:link w:val="OCJENSKIRADOVI1NaslovpoglavljaChar"/>
    <w:uiPriority w:val="99"/>
    <w:rsid w:val="00BC4A5C"/>
    <w:pPr>
      <w:numPr>
        <w:numId w:val="6"/>
      </w:numPr>
      <w:tabs>
        <w:tab w:val="left" w:pos="1134"/>
      </w:tabs>
      <w:outlineLvl w:val="0"/>
    </w:pPr>
    <w:rPr>
      <w:caps/>
    </w:rPr>
  </w:style>
  <w:style w:type="character" w:customStyle="1" w:styleId="OCJENSKIRADOVI1NaslovpoglavljaChar">
    <w:name w:val="OCJENSKI_RADOVI_1_Naslov_poglavlja Char"/>
    <w:basedOn w:val="DefaultParagraphFont"/>
    <w:link w:val="OCJENSKIRADOVI1Naslovpoglavlja"/>
    <w:uiPriority w:val="99"/>
    <w:locked/>
    <w:rsid w:val="00BC4A5C"/>
    <w:rPr>
      <w:b/>
      <w:bCs/>
      <w:caps/>
      <w:color w:val="003399"/>
      <w:sz w:val="36"/>
      <w:szCs w:val="36"/>
      <w:lang w:eastAsia="en-US"/>
    </w:rPr>
  </w:style>
  <w:style w:type="paragraph" w:customStyle="1" w:styleId="OCJENSKIRADOVIFooter">
    <w:name w:val="OCJENSKI_RADOVI_Footer"/>
    <w:basedOn w:val="OCJENSKIRADOVIFontParagraph"/>
    <w:uiPriority w:val="99"/>
    <w:rsid w:val="00F63080"/>
    <w:pPr>
      <w:tabs>
        <w:tab w:val="right" w:pos="9072"/>
      </w:tabs>
    </w:pPr>
    <w:rPr>
      <w:b/>
      <w:bCs/>
      <w:sz w:val="20"/>
      <w:szCs w:val="20"/>
    </w:rPr>
  </w:style>
  <w:style w:type="paragraph" w:customStyle="1" w:styleId="OCJENSKIRADOVIFontParagraph">
    <w:name w:val="OCJENSKI_RADOVI_Font_Paragraph"/>
    <w:uiPriority w:val="99"/>
    <w:rsid w:val="007416FA"/>
    <w:rPr>
      <w:sz w:val="24"/>
      <w:szCs w:val="24"/>
      <w:lang w:eastAsia="en-US"/>
    </w:rPr>
  </w:style>
  <w:style w:type="paragraph" w:customStyle="1" w:styleId="OCJENSKIRADOVIOdlomak3NASTAVAKODLOMKA">
    <w:name w:val="OCJENSKI_RADOVI_Odlomak_3_NASTAVAK_ODLOMKA"/>
    <w:basedOn w:val="OCJENSKIRADOVIOdlomak1PRVIODLOMAK"/>
    <w:link w:val="OCJENSKIRADOVIOdlomak3NASTAVAKODLOMKAChar"/>
    <w:uiPriority w:val="99"/>
    <w:rsid w:val="0009307D"/>
  </w:style>
  <w:style w:type="character" w:customStyle="1" w:styleId="OCJENSKIRADOVIOdlomak3NASTAVAKODLOMKAChar">
    <w:name w:val="OCJENSKI_RADOVI_Odlomak_3_NASTAVAK_ODLOMKA Char"/>
    <w:basedOn w:val="DefaultParagraphFont"/>
    <w:link w:val="OCJENSKIRADOVIOdlomak3NASTAVAKODLOMKA"/>
    <w:uiPriority w:val="99"/>
    <w:locked/>
    <w:rsid w:val="0009307D"/>
    <w:rPr>
      <w:rFonts w:ascii="Calibri" w:hAnsi="Calibri" w:cs="Calibri"/>
      <w:sz w:val="24"/>
      <w:szCs w:val="24"/>
      <w:lang w:val="hr-HR"/>
    </w:rPr>
  </w:style>
  <w:style w:type="paragraph" w:styleId="TOC4">
    <w:name w:val="toc 4"/>
    <w:basedOn w:val="Normal"/>
    <w:next w:val="Normal"/>
    <w:autoRedefine/>
    <w:uiPriority w:val="99"/>
    <w:semiHidden/>
    <w:rsid w:val="00700704"/>
    <w:pPr>
      <w:ind w:left="720"/>
    </w:pPr>
  </w:style>
  <w:style w:type="character" w:styleId="Hyperlink">
    <w:name w:val="Hyperlink"/>
    <w:aliases w:val="OCJENSKI_RADOVI_Hyperlink"/>
    <w:basedOn w:val="OCJENSKIRADOVIFontCharacter"/>
    <w:uiPriority w:val="99"/>
    <w:rsid w:val="007A649E"/>
    <w:rPr>
      <w:rFonts w:ascii="Times New Roman" w:hAnsi="Times New Roman" w:cs="Times New Roman"/>
      <w:color w:val="003399"/>
      <w:sz w:val="20"/>
      <w:szCs w:val="20"/>
      <w:u w:val="single"/>
    </w:rPr>
  </w:style>
  <w:style w:type="paragraph" w:customStyle="1" w:styleId="OCJENSKIRADOVI2Podnaslovpoglavlja">
    <w:name w:val="OCJENSKI_RADOVI_2_Podnaslov_poglavlja"/>
    <w:basedOn w:val="OCJENSKIRADOVIFontParagraph"/>
    <w:next w:val="Normal"/>
    <w:link w:val="OCJENSKIRADOVI2PodnaslovpoglavljaChar"/>
    <w:uiPriority w:val="99"/>
    <w:rsid w:val="006A7229"/>
    <w:pPr>
      <w:numPr>
        <w:ilvl w:val="1"/>
        <w:numId w:val="6"/>
      </w:numPr>
      <w:tabs>
        <w:tab w:val="clear" w:pos="964"/>
        <w:tab w:val="num" w:pos="680"/>
      </w:tabs>
      <w:spacing w:before="240" w:after="120"/>
      <w:ind w:left="680"/>
      <w:outlineLvl w:val="1"/>
    </w:pPr>
    <w:rPr>
      <w:b/>
      <w:bCs/>
      <w:sz w:val="28"/>
      <w:szCs w:val="28"/>
    </w:rPr>
  </w:style>
  <w:style w:type="character" w:customStyle="1" w:styleId="OCJENSKIRADOVI2PodnaslovpoglavljaChar">
    <w:name w:val="OCJENSKI_RADOVI_2_Podnaslov_poglavlja Char"/>
    <w:basedOn w:val="DefaultParagraphFont"/>
    <w:link w:val="OCJENSKIRADOVI2Podnaslovpoglavlja"/>
    <w:uiPriority w:val="99"/>
    <w:locked/>
    <w:rsid w:val="006A7229"/>
    <w:rPr>
      <w:b/>
      <w:bCs/>
      <w:sz w:val="28"/>
      <w:szCs w:val="28"/>
      <w:lang w:eastAsia="en-US"/>
    </w:rPr>
  </w:style>
  <w:style w:type="paragraph" w:styleId="Header">
    <w:name w:val="header"/>
    <w:basedOn w:val="Normal"/>
    <w:link w:val="HeaderChar"/>
    <w:uiPriority w:val="99"/>
    <w:rsid w:val="00727650"/>
    <w:pPr>
      <w:tabs>
        <w:tab w:val="center" w:pos="4320"/>
        <w:tab w:val="right" w:pos="8640"/>
      </w:tabs>
    </w:pPr>
  </w:style>
  <w:style w:type="character" w:customStyle="1" w:styleId="HeaderChar">
    <w:name w:val="Header Char"/>
    <w:basedOn w:val="DefaultParagraphFont"/>
    <w:link w:val="Header"/>
    <w:uiPriority w:val="99"/>
    <w:semiHidden/>
    <w:locked/>
    <w:rPr>
      <w:sz w:val="24"/>
      <w:szCs w:val="24"/>
      <w:lang w:val="en-US" w:eastAsia="en-US"/>
    </w:rPr>
  </w:style>
  <w:style w:type="paragraph" w:styleId="Footer">
    <w:name w:val="footer"/>
    <w:basedOn w:val="Normal"/>
    <w:link w:val="FooterChar"/>
    <w:uiPriority w:val="99"/>
    <w:rsid w:val="00727650"/>
    <w:pPr>
      <w:tabs>
        <w:tab w:val="center" w:pos="4320"/>
        <w:tab w:val="right" w:pos="8640"/>
      </w:tabs>
    </w:pPr>
  </w:style>
  <w:style w:type="character" w:customStyle="1" w:styleId="FooterChar">
    <w:name w:val="Footer Char"/>
    <w:basedOn w:val="DefaultParagraphFont"/>
    <w:link w:val="Footer"/>
    <w:uiPriority w:val="99"/>
    <w:semiHidden/>
    <w:locked/>
    <w:rPr>
      <w:sz w:val="24"/>
      <w:szCs w:val="24"/>
      <w:lang w:val="en-US" w:eastAsia="en-US"/>
    </w:rPr>
  </w:style>
  <w:style w:type="paragraph" w:styleId="TOCHeading">
    <w:name w:val="TOC Heading"/>
    <w:basedOn w:val="Heading1"/>
    <w:next w:val="Normal"/>
    <w:uiPriority w:val="39"/>
    <w:qFormat/>
    <w:rsid w:val="00294BFB"/>
    <w:pPr>
      <w:keepLines/>
      <w:numPr>
        <w:numId w:val="0"/>
      </w:numPr>
      <w:spacing w:before="480" w:after="0" w:line="276" w:lineRule="auto"/>
      <w:outlineLvl w:val="9"/>
    </w:pPr>
    <w:rPr>
      <w:rFonts w:ascii="Cambria" w:hAnsi="Cambria" w:cs="Cambria"/>
      <w:color w:val="365F91"/>
      <w:kern w:val="0"/>
      <w:sz w:val="28"/>
      <w:szCs w:val="28"/>
    </w:rPr>
  </w:style>
  <w:style w:type="paragraph" w:customStyle="1" w:styleId="OCJENSKIRADOVI0Naslovsadrzaja">
    <w:name w:val="OCJENSKI_RADOVI_0_Naslov_sadrzaja"/>
    <w:basedOn w:val="OCJENSKIRADOVIFontParagraph"/>
    <w:uiPriority w:val="99"/>
    <w:rsid w:val="0065627C"/>
    <w:pPr>
      <w:spacing w:before="600" w:after="480"/>
    </w:pPr>
    <w:rPr>
      <w:b/>
      <w:bCs/>
      <w:color w:val="003399"/>
      <w:sz w:val="36"/>
      <w:szCs w:val="36"/>
    </w:rPr>
  </w:style>
  <w:style w:type="character" w:styleId="CommentReference">
    <w:name w:val="annotation reference"/>
    <w:basedOn w:val="DefaultParagraphFont"/>
    <w:uiPriority w:val="99"/>
    <w:semiHidden/>
    <w:rsid w:val="005B0FE9"/>
    <w:rPr>
      <w:sz w:val="16"/>
      <w:szCs w:val="16"/>
    </w:rPr>
  </w:style>
  <w:style w:type="paragraph" w:styleId="CommentText">
    <w:name w:val="annotation text"/>
    <w:basedOn w:val="Normal"/>
    <w:link w:val="CommentTextChar"/>
    <w:uiPriority w:val="99"/>
    <w:semiHidden/>
    <w:rsid w:val="005B0FE9"/>
    <w:rPr>
      <w:sz w:val="20"/>
      <w:szCs w:val="20"/>
    </w:rPr>
  </w:style>
  <w:style w:type="character" w:customStyle="1" w:styleId="CommentTextChar">
    <w:name w:val="Comment Text Char"/>
    <w:basedOn w:val="DefaultParagraphFont"/>
    <w:link w:val="CommentText"/>
    <w:uiPriority w:val="99"/>
    <w:semiHidden/>
    <w:locked/>
    <w:rPr>
      <w:sz w:val="20"/>
      <w:szCs w:val="20"/>
      <w:lang w:val="en-US" w:eastAsia="en-US"/>
    </w:rPr>
  </w:style>
  <w:style w:type="paragraph" w:styleId="CommentSubject">
    <w:name w:val="annotation subject"/>
    <w:basedOn w:val="CommentText"/>
    <w:next w:val="CommentText"/>
    <w:link w:val="CommentSubjectChar"/>
    <w:uiPriority w:val="99"/>
    <w:semiHidden/>
    <w:rsid w:val="005B0FE9"/>
    <w:rPr>
      <w:b/>
      <w:bCs/>
    </w:rPr>
  </w:style>
  <w:style w:type="character" w:customStyle="1" w:styleId="CommentSubjectChar">
    <w:name w:val="Comment Subject Char"/>
    <w:basedOn w:val="CommentTextChar"/>
    <w:link w:val="CommentSubject"/>
    <w:uiPriority w:val="99"/>
    <w:semiHidden/>
    <w:locked/>
    <w:rPr>
      <w:b/>
      <w:bCs/>
      <w:sz w:val="20"/>
      <w:szCs w:val="20"/>
      <w:lang w:val="en-US" w:eastAsia="en-US"/>
    </w:rPr>
  </w:style>
  <w:style w:type="paragraph" w:styleId="BalloonText">
    <w:name w:val="Balloon Text"/>
    <w:basedOn w:val="Normal"/>
    <w:link w:val="BalloonTextChar"/>
    <w:uiPriority w:val="99"/>
    <w:semiHidden/>
    <w:rsid w:val="005B0FE9"/>
    <w:rPr>
      <w:rFonts w:ascii="Tahoma" w:hAnsi="Tahoma" w:cs="Tahoma"/>
      <w:sz w:val="16"/>
      <w:szCs w:val="16"/>
    </w:rPr>
  </w:style>
  <w:style w:type="character" w:customStyle="1" w:styleId="BalloonTextChar">
    <w:name w:val="Balloon Text Char"/>
    <w:basedOn w:val="DefaultParagraphFont"/>
    <w:link w:val="BalloonText"/>
    <w:uiPriority w:val="99"/>
    <w:semiHidden/>
    <w:locked/>
    <w:rPr>
      <w:sz w:val="2"/>
      <w:szCs w:val="2"/>
      <w:lang w:val="en-US" w:eastAsia="en-US"/>
    </w:rPr>
  </w:style>
  <w:style w:type="paragraph" w:styleId="TOC1">
    <w:name w:val="toc 1"/>
    <w:aliases w:val="OCJENSKI_RADOVI_TOC_1"/>
    <w:basedOn w:val="Normal"/>
    <w:next w:val="Normal"/>
    <w:autoRedefine/>
    <w:uiPriority w:val="39"/>
    <w:rsid w:val="0065627C"/>
    <w:pPr>
      <w:tabs>
        <w:tab w:val="left" w:pos="567"/>
        <w:tab w:val="right" w:leader="dot" w:pos="9072"/>
      </w:tabs>
      <w:spacing w:before="120"/>
    </w:pPr>
    <w:rPr>
      <w:b/>
      <w:bCs/>
      <w:caps/>
      <w:noProof/>
      <w:color w:val="003399"/>
    </w:rPr>
  </w:style>
  <w:style w:type="paragraph" w:styleId="TOC9">
    <w:name w:val="toc 9"/>
    <w:basedOn w:val="Normal"/>
    <w:next w:val="Normal"/>
    <w:autoRedefine/>
    <w:uiPriority w:val="99"/>
    <w:semiHidden/>
    <w:rsid w:val="00060EB5"/>
    <w:pPr>
      <w:ind w:left="1920"/>
    </w:pPr>
  </w:style>
  <w:style w:type="paragraph" w:styleId="TOC2">
    <w:name w:val="toc 2"/>
    <w:aliases w:val="OCJENSKI_RADOVI_TOC_2"/>
    <w:basedOn w:val="Normal"/>
    <w:next w:val="Normal"/>
    <w:autoRedefine/>
    <w:uiPriority w:val="39"/>
    <w:rsid w:val="0065627C"/>
    <w:pPr>
      <w:tabs>
        <w:tab w:val="left" w:pos="567"/>
        <w:tab w:val="right" w:leader="dot" w:pos="9072"/>
      </w:tabs>
      <w:spacing w:before="120"/>
      <w:ind w:left="567" w:hanging="567"/>
    </w:pPr>
    <w:rPr>
      <w:b/>
      <w:bCs/>
      <w:sz w:val="22"/>
      <w:szCs w:val="22"/>
    </w:rPr>
  </w:style>
  <w:style w:type="paragraph" w:styleId="TOC3">
    <w:name w:val="toc 3"/>
    <w:aliases w:val="OCJENSKI_RADOVI_TOC_3"/>
    <w:basedOn w:val="Normal"/>
    <w:next w:val="Normal"/>
    <w:autoRedefine/>
    <w:uiPriority w:val="39"/>
    <w:rsid w:val="0065627C"/>
    <w:pPr>
      <w:tabs>
        <w:tab w:val="left" w:pos="567"/>
        <w:tab w:val="right" w:leader="dot" w:pos="9072"/>
      </w:tabs>
      <w:spacing w:before="120"/>
      <w:ind w:left="567" w:hanging="567"/>
    </w:pPr>
    <w:rPr>
      <w:i/>
      <w:iCs/>
      <w:sz w:val="22"/>
      <w:szCs w:val="22"/>
    </w:rPr>
  </w:style>
  <w:style w:type="character" w:customStyle="1" w:styleId="OCJENSKIRADOVIFontCharacter">
    <w:name w:val="OCJENSKI_RADOVI_Font_Character"/>
    <w:uiPriority w:val="99"/>
    <w:rsid w:val="007A649E"/>
    <w:rPr>
      <w:rFonts w:ascii="Times New Roman" w:hAnsi="Times New Roman" w:cs="Times New Roman"/>
      <w:u w:val="none"/>
    </w:rPr>
  </w:style>
  <w:style w:type="character" w:customStyle="1" w:styleId="OCJENSKIRADOVIOdlomak1PRVIODLOMAKChar">
    <w:name w:val="OCJENSKI_RADOVI_Odlomak_1_PRVI_ODLOMAK Char"/>
    <w:basedOn w:val="DefaultParagraphFont"/>
    <w:link w:val="OCJENSKIRADOVIOdlomak1PRVIODLOMAK"/>
    <w:uiPriority w:val="99"/>
    <w:locked/>
    <w:rsid w:val="000B3A7B"/>
    <w:rPr>
      <w:sz w:val="24"/>
      <w:szCs w:val="24"/>
      <w:lang w:val="hr-HR"/>
    </w:rPr>
  </w:style>
  <w:style w:type="character" w:styleId="Emphasis">
    <w:name w:val="Emphasis"/>
    <w:basedOn w:val="DefaultParagraphFont"/>
    <w:uiPriority w:val="99"/>
    <w:qFormat/>
    <w:rsid w:val="00F31D08"/>
    <w:rPr>
      <w:i/>
      <w:iCs/>
    </w:rPr>
  </w:style>
  <w:style w:type="character" w:styleId="Strong">
    <w:name w:val="Strong"/>
    <w:basedOn w:val="DefaultParagraphFont"/>
    <w:uiPriority w:val="99"/>
    <w:qFormat/>
    <w:rsid w:val="000A025F"/>
    <w:rPr>
      <w:b/>
      <w:bCs/>
    </w:rPr>
  </w:style>
  <w:style w:type="paragraph" w:styleId="ListParagraph">
    <w:name w:val="List Paragraph"/>
    <w:basedOn w:val="Normal"/>
    <w:uiPriority w:val="34"/>
    <w:qFormat/>
    <w:rsid w:val="000B5D0E"/>
    <w:pPr>
      <w:ind w:left="720"/>
    </w:pPr>
  </w:style>
  <w:style w:type="numbering" w:customStyle="1" w:styleId="CurrentList1">
    <w:name w:val="Current List1"/>
    <w:rsid w:val="00ED052C"/>
    <w:pPr>
      <w:numPr>
        <w:numId w:val="2"/>
      </w:numPr>
    </w:pPr>
  </w:style>
  <w:style w:type="paragraph" w:styleId="Revision">
    <w:name w:val="Revision"/>
    <w:hidden/>
    <w:uiPriority w:val="99"/>
    <w:semiHidden/>
    <w:rsid w:val="00EF2376"/>
    <w:rPr>
      <w:sz w:val="24"/>
      <w:szCs w:val="24"/>
      <w:lang w:val="en-US" w:eastAsia="en-US"/>
    </w:rPr>
  </w:style>
  <w:style w:type="character" w:styleId="FollowedHyperlink">
    <w:name w:val="FollowedHyperlink"/>
    <w:basedOn w:val="DefaultParagraphFont"/>
    <w:uiPriority w:val="99"/>
    <w:semiHidden/>
    <w:unhideWhenUsed/>
    <w:rsid w:val="00B62C42"/>
    <w:rPr>
      <w:color w:val="800080" w:themeColor="followedHyperlink"/>
      <w:u w:val="single"/>
    </w:rPr>
  </w:style>
  <w:style w:type="character" w:styleId="UnresolvedMention">
    <w:name w:val="Unresolved Mention"/>
    <w:basedOn w:val="DefaultParagraphFont"/>
    <w:uiPriority w:val="99"/>
    <w:semiHidden/>
    <w:unhideWhenUsed/>
    <w:rsid w:val="007E3E38"/>
    <w:rPr>
      <w:color w:val="605E5C"/>
      <w:shd w:val="clear" w:color="auto" w:fill="E1DFDD"/>
    </w:rPr>
  </w:style>
  <w:style w:type="character" w:styleId="PlaceholderText">
    <w:name w:val="Placeholder Text"/>
    <w:basedOn w:val="DefaultParagraphFont"/>
    <w:uiPriority w:val="99"/>
    <w:semiHidden/>
    <w:rsid w:val="005536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574195">
      <w:marLeft w:val="0"/>
      <w:marRight w:val="0"/>
      <w:marTop w:val="0"/>
      <w:marBottom w:val="0"/>
      <w:divBdr>
        <w:top w:val="none" w:sz="0" w:space="0" w:color="auto"/>
        <w:left w:val="none" w:sz="0" w:space="0" w:color="auto"/>
        <w:bottom w:val="none" w:sz="0" w:space="0" w:color="auto"/>
        <w:right w:val="none" w:sz="0" w:space="0" w:color="auto"/>
      </w:divBdr>
    </w:div>
    <w:div w:id="439574197">
      <w:marLeft w:val="0"/>
      <w:marRight w:val="0"/>
      <w:marTop w:val="0"/>
      <w:marBottom w:val="0"/>
      <w:divBdr>
        <w:top w:val="none" w:sz="0" w:space="0" w:color="auto"/>
        <w:left w:val="none" w:sz="0" w:space="0" w:color="auto"/>
        <w:bottom w:val="none" w:sz="0" w:space="0" w:color="auto"/>
        <w:right w:val="none" w:sz="0" w:space="0" w:color="auto"/>
      </w:divBdr>
    </w:div>
    <w:div w:id="439574198">
      <w:marLeft w:val="0"/>
      <w:marRight w:val="0"/>
      <w:marTop w:val="0"/>
      <w:marBottom w:val="0"/>
      <w:divBdr>
        <w:top w:val="none" w:sz="0" w:space="0" w:color="auto"/>
        <w:left w:val="none" w:sz="0" w:space="0" w:color="auto"/>
        <w:bottom w:val="none" w:sz="0" w:space="0" w:color="auto"/>
        <w:right w:val="none" w:sz="0" w:space="0" w:color="auto"/>
      </w:divBdr>
      <w:divsChild>
        <w:div w:id="439574196">
          <w:marLeft w:val="0"/>
          <w:marRight w:val="0"/>
          <w:marTop w:val="0"/>
          <w:marBottom w:val="0"/>
          <w:divBdr>
            <w:top w:val="none" w:sz="0" w:space="0" w:color="auto"/>
            <w:left w:val="none" w:sz="0" w:space="0" w:color="auto"/>
            <w:bottom w:val="none" w:sz="0" w:space="0" w:color="auto"/>
            <w:right w:val="none" w:sz="0" w:space="0" w:color="auto"/>
          </w:divBdr>
        </w:div>
      </w:divsChild>
    </w:div>
    <w:div w:id="439574199">
      <w:marLeft w:val="0"/>
      <w:marRight w:val="0"/>
      <w:marTop w:val="0"/>
      <w:marBottom w:val="0"/>
      <w:divBdr>
        <w:top w:val="none" w:sz="0" w:space="0" w:color="auto"/>
        <w:left w:val="none" w:sz="0" w:space="0" w:color="auto"/>
        <w:bottom w:val="none" w:sz="0" w:space="0" w:color="auto"/>
        <w:right w:val="none" w:sz="0" w:space="0" w:color="auto"/>
      </w:divBdr>
    </w:div>
    <w:div w:id="439574201">
      <w:marLeft w:val="0"/>
      <w:marRight w:val="0"/>
      <w:marTop w:val="0"/>
      <w:marBottom w:val="0"/>
      <w:divBdr>
        <w:top w:val="none" w:sz="0" w:space="0" w:color="auto"/>
        <w:left w:val="none" w:sz="0" w:space="0" w:color="auto"/>
        <w:bottom w:val="none" w:sz="0" w:space="0" w:color="auto"/>
        <w:right w:val="none" w:sz="0" w:space="0" w:color="auto"/>
      </w:divBdr>
    </w:div>
    <w:div w:id="439574202">
      <w:marLeft w:val="0"/>
      <w:marRight w:val="0"/>
      <w:marTop w:val="0"/>
      <w:marBottom w:val="0"/>
      <w:divBdr>
        <w:top w:val="none" w:sz="0" w:space="0" w:color="auto"/>
        <w:left w:val="none" w:sz="0" w:space="0" w:color="auto"/>
        <w:bottom w:val="none" w:sz="0" w:space="0" w:color="auto"/>
        <w:right w:val="none" w:sz="0" w:space="0" w:color="auto"/>
      </w:divBdr>
    </w:div>
    <w:div w:id="439574204">
      <w:marLeft w:val="0"/>
      <w:marRight w:val="0"/>
      <w:marTop w:val="0"/>
      <w:marBottom w:val="0"/>
      <w:divBdr>
        <w:top w:val="none" w:sz="0" w:space="0" w:color="auto"/>
        <w:left w:val="none" w:sz="0" w:space="0" w:color="auto"/>
        <w:bottom w:val="none" w:sz="0" w:space="0" w:color="auto"/>
        <w:right w:val="none" w:sz="0" w:space="0" w:color="auto"/>
      </w:divBdr>
    </w:div>
    <w:div w:id="439574206">
      <w:marLeft w:val="0"/>
      <w:marRight w:val="0"/>
      <w:marTop w:val="0"/>
      <w:marBottom w:val="0"/>
      <w:divBdr>
        <w:top w:val="none" w:sz="0" w:space="0" w:color="auto"/>
        <w:left w:val="none" w:sz="0" w:space="0" w:color="auto"/>
        <w:bottom w:val="none" w:sz="0" w:space="0" w:color="auto"/>
        <w:right w:val="none" w:sz="0" w:space="0" w:color="auto"/>
      </w:divBdr>
    </w:div>
    <w:div w:id="439574207">
      <w:marLeft w:val="0"/>
      <w:marRight w:val="0"/>
      <w:marTop w:val="0"/>
      <w:marBottom w:val="0"/>
      <w:divBdr>
        <w:top w:val="none" w:sz="0" w:space="0" w:color="auto"/>
        <w:left w:val="none" w:sz="0" w:space="0" w:color="auto"/>
        <w:bottom w:val="none" w:sz="0" w:space="0" w:color="auto"/>
        <w:right w:val="none" w:sz="0" w:space="0" w:color="auto"/>
      </w:divBdr>
    </w:div>
    <w:div w:id="439574208">
      <w:marLeft w:val="0"/>
      <w:marRight w:val="0"/>
      <w:marTop w:val="0"/>
      <w:marBottom w:val="0"/>
      <w:divBdr>
        <w:top w:val="none" w:sz="0" w:space="0" w:color="auto"/>
        <w:left w:val="none" w:sz="0" w:space="0" w:color="auto"/>
        <w:bottom w:val="none" w:sz="0" w:space="0" w:color="auto"/>
        <w:right w:val="none" w:sz="0" w:space="0" w:color="auto"/>
      </w:divBdr>
    </w:div>
    <w:div w:id="439574209">
      <w:marLeft w:val="0"/>
      <w:marRight w:val="0"/>
      <w:marTop w:val="0"/>
      <w:marBottom w:val="0"/>
      <w:divBdr>
        <w:top w:val="none" w:sz="0" w:space="0" w:color="auto"/>
        <w:left w:val="none" w:sz="0" w:space="0" w:color="auto"/>
        <w:bottom w:val="none" w:sz="0" w:space="0" w:color="auto"/>
        <w:right w:val="none" w:sz="0" w:space="0" w:color="auto"/>
      </w:divBdr>
      <w:divsChild>
        <w:div w:id="439574205">
          <w:marLeft w:val="0"/>
          <w:marRight w:val="0"/>
          <w:marTop w:val="0"/>
          <w:marBottom w:val="0"/>
          <w:divBdr>
            <w:top w:val="none" w:sz="0" w:space="0" w:color="auto"/>
            <w:left w:val="none" w:sz="0" w:space="0" w:color="auto"/>
            <w:bottom w:val="none" w:sz="0" w:space="0" w:color="auto"/>
            <w:right w:val="none" w:sz="0" w:space="0" w:color="auto"/>
          </w:divBdr>
        </w:div>
      </w:divsChild>
    </w:div>
    <w:div w:id="439574210">
      <w:marLeft w:val="0"/>
      <w:marRight w:val="0"/>
      <w:marTop w:val="0"/>
      <w:marBottom w:val="0"/>
      <w:divBdr>
        <w:top w:val="none" w:sz="0" w:space="0" w:color="auto"/>
        <w:left w:val="none" w:sz="0" w:space="0" w:color="auto"/>
        <w:bottom w:val="none" w:sz="0" w:space="0" w:color="auto"/>
        <w:right w:val="none" w:sz="0" w:space="0" w:color="auto"/>
      </w:divBdr>
      <w:divsChild>
        <w:div w:id="439574200">
          <w:marLeft w:val="0"/>
          <w:marRight w:val="0"/>
          <w:marTop w:val="0"/>
          <w:marBottom w:val="0"/>
          <w:divBdr>
            <w:top w:val="none" w:sz="0" w:space="0" w:color="auto"/>
            <w:left w:val="none" w:sz="0" w:space="0" w:color="auto"/>
            <w:bottom w:val="none" w:sz="0" w:space="0" w:color="auto"/>
            <w:right w:val="none" w:sz="0" w:space="0" w:color="auto"/>
          </w:divBdr>
          <w:divsChild>
            <w:div w:id="4395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74211">
      <w:marLeft w:val="0"/>
      <w:marRight w:val="0"/>
      <w:marTop w:val="0"/>
      <w:marBottom w:val="0"/>
      <w:divBdr>
        <w:top w:val="none" w:sz="0" w:space="0" w:color="auto"/>
        <w:left w:val="none" w:sz="0" w:space="0" w:color="auto"/>
        <w:bottom w:val="none" w:sz="0" w:space="0" w:color="auto"/>
        <w:right w:val="none" w:sz="0" w:space="0" w:color="auto"/>
      </w:divBdr>
    </w:div>
    <w:div w:id="828444030">
      <w:bodyDiv w:val="1"/>
      <w:marLeft w:val="0"/>
      <w:marRight w:val="0"/>
      <w:marTop w:val="0"/>
      <w:marBottom w:val="0"/>
      <w:divBdr>
        <w:top w:val="none" w:sz="0" w:space="0" w:color="auto"/>
        <w:left w:val="none" w:sz="0" w:space="0" w:color="auto"/>
        <w:bottom w:val="none" w:sz="0" w:space="0" w:color="auto"/>
        <w:right w:val="none" w:sz="0" w:space="0" w:color="auto"/>
      </w:divBdr>
    </w:div>
    <w:div w:id="1386172990">
      <w:bodyDiv w:val="1"/>
      <w:marLeft w:val="0"/>
      <w:marRight w:val="0"/>
      <w:marTop w:val="0"/>
      <w:marBottom w:val="0"/>
      <w:divBdr>
        <w:top w:val="none" w:sz="0" w:space="0" w:color="auto"/>
        <w:left w:val="none" w:sz="0" w:space="0" w:color="auto"/>
        <w:bottom w:val="none" w:sz="0" w:space="0" w:color="auto"/>
        <w:right w:val="none" w:sz="0" w:space="0" w:color="auto"/>
      </w:divBdr>
    </w:div>
    <w:div w:id="1579829571">
      <w:bodyDiv w:val="1"/>
      <w:marLeft w:val="0"/>
      <w:marRight w:val="0"/>
      <w:marTop w:val="0"/>
      <w:marBottom w:val="0"/>
      <w:divBdr>
        <w:top w:val="none" w:sz="0" w:space="0" w:color="auto"/>
        <w:left w:val="none" w:sz="0" w:space="0" w:color="auto"/>
        <w:bottom w:val="none" w:sz="0" w:space="0" w:color="auto"/>
        <w:right w:val="none" w:sz="0" w:space="0" w:color="auto"/>
      </w:divBdr>
    </w:div>
    <w:div w:id="1953586877">
      <w:bodyDiv w:val="1"/>
      <w:marLeft w:val="0"/>
      <w:marRight w:val="0"/>
      <w:marTop w:val="0"/>
      <w:marBottom w:val="0"/>
      <w:divBdr>
        <w:top w:val="none" w:sz="0" w:space="0" w:color="auto"/>
        <w:left w:val="none" w:sz="0" w:space="0" w:color="auto"/>
        <w:bottom w:val="none" w:sz="0" w:space="0" w:color="auto"/>
        <w:right w:val="none" w:sz="0" w:space="0" w:color="auto"/>
      </w:divBdr>
      <w:divsChild>
        <w:div w:id="916788262">
          <w:marLeft w:val="0"/>
          <w:marRight w:val="0"/>
          <w:marTop w:val="0"/>
          <w:marBottom w:val="0"/>
          <w:divBdr>
            <w:top w:val="none" w:sz="0" w:space="0" w:color="auto"/>
            <w:left w:val="none" w:sz="0" w:space="0" w:color="auto"/>
            <w:bottom w:val="none" w:sz="0" w:space="0" w:color="auto"/>
            <w:right w:val="none" w:sz="0" w:space="0" w:color="auto"/>
          </w:divBdr>
          <w:divsChild>
            <w:div w:id="212816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89096">
      <w:bodyDiv w:val="1"/>
      <w:marLeft w:val="0"/>
      <w:marRight w:val="0"/>
      <w:marTop w:val="0"/>
      <w:marBottom w:val="0"/>
      <w:divBdr>
        <w:top w:val="none" w:sz="0" w:space="0" w:color="auto"/>
        <w:left w:val="none" w:sz="0" w:space="0" w:color="auto"/>
        <w:bottom w:val="none" w:sz="0" w:space="0" w:color="auto"/>
        <w:right w:val="none" w:sz="0" w:space="0" w:color="auto"/>
      </w:divBdr>
    </w:div>
    <w:div w:id="2080639049">
      <w:bodyDiv w:val="1"/>
      <w:marLeft w:val="0"/>
      <w:marRight w:val="0"/>
      <w:marTop w:val="0"/>
      <w:marBottom w:val="0"/>
      <w:divBdr>
        <w:top w:val="none" w:sz="0" w:space="0" w:color="auto"/>
        <w:left w:val="none" w:sz="0" w:space="0" w:color="auto"/>
        <w:bottom w:val="none" w:sz="0" w:space="0" w:color="auto"/>
        <w:right w:val="none" w:sz="0" w:space="0" w:color="auto"/>
      </w:divBdr>
      <w:divsChild>
        <w:div w:id="437221151">
          <w:marLeft w:val="0"/>
          <w:marRight w:val="0"/>
          <w:marTop w:val="0"/>
          <w:marBottom w:val="0"/>
          <w:divBdr>
            <w:top w:val="none" w:sz="0" w:space="0" w:color="auto"/>
            <w:left w:val="none" w:sz="0" w:space="0" w:color="auto"/>
            <w:bottom w:val="none" w:sz="0" w:space="0" w:color="auto"/>
            <w:right w:val="none" w:sz="0" w:space="0" w:color="auto"/>
          </w:divBdr>
          <w:divsChild>
            <w:div w:id="164666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rcsb.org"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14.png"/><Relationship Id="rId36" Type="http://schemas.openxmlformats.org/officeDocument/2006/relationships/hyperlink" Target="https://go.drugbank.com/drugs" TargetMode="External"/><Relationship Id="rId10" Type="http://schemas.openxmlformats.org/officeDocument/2006/relationships/footer" Target="footer1.xml"/><Relationship Id="rId19" Type="http://schemas.openxmlformats.org/officeDocument/2006/relationships/hyperlink" Target="http://www.rcsb.org" TargetMode="External"/><Relationship Id="rId31" Type="http://schemas.openxmlformats.org/officeDocument/2006/relationships/image" Target="media/image17.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www.uniprot.org/uniprot/Q9NQC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2BC0A-E820-4BDA-A052-A9A43A299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Pages>
  <Words>9390</Words>
  <Characters>53523</Characters>
  <Application>Microsoft Office Word</Application>
  <DocSecurity>0</DocSecurity>
  <Lines>446</Lines>
  <Paragraphs>125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Numeričke metode temeljene na interpolacijskim formulama</vt:lpstr>
      <vt:lpstr>Numeričke metode temeljene na interpolacijskim formulama</vt:lpstr>
    </vt:vector>
  </TitlesOfParts>
  <Company>HP</Company>
  <LinksUpToDate>false</LinksUpToDate>
  <CharactersWithSpaces>62788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Numeričke metode temeljene na interpolacijskim formulama</dc:title>
  <dc:creator>a</dc:creator>
  <cp:lastModifiedBy>Marija Bartolić</cp:lastModifiedBy>
  <cp:revision>32</cp:revision>
  <cp:lastPrinted>2013-08-28T10:43:00Z</cp:lastPrinted>
  <dcterms:created xsi:type="dcterms:W3CDTF">2022-04-19T11:33:00Z</dcterms:created>
  <dcterms:modified xsi:type="dcterms:W3CDTF">2022-08-25T15:14:00Z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[Styles]Text=EuclidFunction=EuclidVariable=Euclid,ILCGreek=Euclid Symbol,IUCGreek=Euclid SymbolSymbol=Euclid SymbolVector=Euclid,BNumber=EuclidUser1=Courier NewUser2=Times New RomanMTExtra=Euclid Extra[Sizes]Full=9 ptScript=7</vt:lpwstr>
  </property>
  <property fmtid="{D5CDD505-2E9C-101B-9397-08002B2CF9AE}" pid="3" name="MTPreferences 1">
    <vt:lpwstr>0 %ScriptScript=50 %Symbol=150 %SubSymbol=100 %User1=75 %User2=150 %SmallLargeIncr=1 pt[Spacing]LineSpacing=150 %MatrixRowSpacing=150 %MatrixColSpacing=100 %SuperscriptHeight=40 %SubscriptDepth=20 %SubSupGap=8 %LimHeight=40 %</vt:lpwstr>
  </property>
  <property fmtid="{D5CDD505-2E9C-101B-9397-08002B2CF9AE}" pid="4" name="MTPreferences 2">
    <vt:lpwstr>LimDepth=90 %LimLineSpacing=100 %NumerHeight=35 %DenomDepth=90 %FractBarOver=5 %FractBarThick=5 %SubFractBarThick=2,5 %FractGap=8 %FenceOver=0 %OperSpacing=120 %NonOperSpacing=100 %CharWidth=0 %MinGap=8 %VertRadGap=10 %HorizR</vt:lpwstr>
  </property>
  <property fmtid="{D5CDD505-2E9C-101B-9397-08002B2CF9AE}" pid="5" name="MTPreferences 3">
    <vt:lpwstr>adGap=15 %RadWidth=100 %EmbellGap=12,5 %PrimeHeight=45 %BoxStrokeThick=5 %StikeThruThick=5 %MatrixLineThick=5 %RadStrokeThick=5 %HorizFenceGap=20 %</vt:lpwstr>
  </property>
  <property fmtid="{D5CDD505-2E9C-101B-9397-08002B2CF9AE}" pid="6" name="MTPreferenceSource">
    <vt:lpwstr>Table.eqp</vt:lpwstr>
  </property>
  <property fmtid="{D5CDD505-2E9C-101B-9397-08002B2CF9AE}" pid="7" name="MTEquationNumber2">
    <vt:lpwstr>(#C1.#E1)</vt:lpwstr>
  </property>
  <property fmtid="{D5CDD505-2E9C-101B-9397-08002B2CF9AE}" pid="8" name="MTEquationSection">
    <vt:lpwstr>1</vt:lpwstr>
  </property>
  <property fmtid="{D5CDD505-2E9C-101B-9397-08002B2CF9AE}" pid="9" name="MTWinEqns">
    <vt:bool>true</vt:bool>
  </property>
</Properties>
</file>