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D4715" w14:textId="77777777" w:rsidR="00940D56" w:rsidRDefault="00940D56" w:rsidP="00940D56">
      <w:pPr>
        <w:jc w:val="center"/>
        <w:rPr>
          <w:rFonts w:ascii="Arial Narrow" w:hAnsi="Arial Narrow" w:cs="Arial"/>
        </w:rPr>
      </w:pPr>
      <w:r w:rsidRPr="00463BCB">
        <w:rPr>
          <w:rFonts w:ascii="Arial Narrow" w:hAnsi="Arial Narrow" w:cs="Arial"/>
          <w:noProof/>
          <w:lang w:val="hr-HR" w:eastAsia="hr-HR"/>
        </w:rPr>
        <w:drawing>
          <wp:inline distT="0" distB="0" distL="0" distR="0" wp14:anchorId="656295F8" wp14:editId="1220409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485CA4EE" w14:textId="77777777" w:rsidR="00940D56" w:rsidRPr="00A661A6" w:rsidRDefault="00940D56" w:rsidP="00940D56">
      <w:pPr>
        <w:jc w:val="center"/>
        <w:rPr>
          <w:sz w:val="32"/>
          <w:szCs w:val="32"/>
        </w:rPr>
      </w:pPr>
      <w:r w:rsidRPr="00A661A6">
        <w:rPr>
          <w:sz w:val="32"/>
          <w:szCs w:val="32"/>
        </w:rPr>
        <w:t>PRIRODOSLOVNO-MATEMATIČKI FAKULTET</w:t>
      </w:r>
    </w:p>
    <w:p w14:paraId="2530100F" w14:textId="77777777" w:rsidR="00940D56" w:rsidRPr="00940D56" w:rsidRDefault="00940D56" w:rsidP="00940D56">
      <w:pPr>
        <w:jc w:val="center"/>
        <w:rPr>
          <w:sz w:val="28"/>
          <w:szCs w:val="28"/>
        </w:rPr>
      </w:pPr>
      <w:r w:rsidRPr="00A661A6">
        <w:rPr>
          <w:sz w:val="32"/>
          <w:szCs w:val="32"/>
          <w:lang w:val="hr-HR"/>
        </w:rPr>
        <w:t>Kemijski odsjek</w:t>
      </w:r>
    </w:p>
    <w:p w14:paraId="4AB9FA5C" w14:textId="77777777" w:rsidR="00940D56" w:rsidRPr="00940D56" w:rsidRDefault="00940D56" w:rsidP="00940D56">
      <w:pPr>
        <w:jc w:val="center"/>
        <w:rPr>
          <w:sz w:val="32"/>
          <w:szCs w:val="32"/>
        </w:rPr>
      </w:pPr>
    </w:p>
    <w:p w14:paraId="560E0F9C" w14:textId="77777777" w:rsidR="00195AED" w:rsidRPr="00940D56" w:rsidRDefault="00195AED" w:rsidP="00940D56">
      <w:pPr>
        <w:rPr>
          <w:sz w:val="32"/>
          <w:szCs w:val="32"/>
          <w:lang w:val="hr-HR"/>
        </w:rPr>
      </w:pPr>
    </w:p>
    <w:p w14:paraId="168D55D4" w14:textId="77777777" w:rsidR="00195AED" w:rsidRPr="00940D56" w:rsidRDefault="00195AED" w:rsidP="00940D56">
      <w:pPr>
        <w:rPr>
          <w:sz w:val="32"/>
          <w:szCs w:val="32"/>
          <w:lang w:val="hr-HR"/>
        </w:rPr>
      </w:pPr>
    </w:p>
    <w:p w14:paraId="4722657B" w14:textId="77777777" w:rsidR="00195AED" w:rsidRPr="00940D56" w:rsidRDefault="00195AED" w:rsidP="00195AED">
      <w:pPr>
        <w:jc w:val="center"/>
        <w:rPr>
          <w:sz w:val="32"/>
          <w:szCs w:val="32"/>
          <w:lang w:val="hr-HR"/>
        </w:rPr>
      </w:pPr>
    </w:p>
    <w:p w14:paraId="5D10A2C3" w14:textId="33550BF5" w:rsidR="00195AED" w:rsidRPr="00195AED" w:rsidRDefault="00C1028F" w:rsidP="00195AED">
      <w:pPr>
        <w:jc w:val="center"/>
        <w:rPr>
          <w:sz w:val="32"/>
          <w:szCs w:val="32"/>
          <w:lang w:val="hr-HR"/>
        </w:rPr>
      </w:pPr>
      <w:r>
        <w:rPr>
          <w:sz w:val="32"/>
          <w:szCs w:val="32"/>
          <w:lang w:val="hr-HR"/>
        </w:rPr>
        <w:t>Nina Vukadinović</w:t>
      </w:r>
    </w:p>
    <w:p w14:paraId="6240F598" w14:textId="0026D04E" w:rsidR="00195AED" w:rsidRPr="00BB3709" w:rsidRDefault="00195AED" w:rsidP="00195AED">
      <w:pPr>
        <w:rPr>
          <w:rFonts w:ascii="Arial Narrow" w:hAnsi="Arial Narrow" w:cs="Arial Narrow"/>
          <w:sz w:val="32"/>
          <w:szCs w:val="32"/>
          <w:lang w:val="hr-HR"/>
        </w:rPr>
      </w:pPr>
    </w:p>
    <w:p w14:paraId="68C51E62" w14:textId="5E370EC0" w:rsidR="007A2370" w:rsidRPr="00CF7119" w:rsidRDefault="00136601" w:rsidP="007A2370">
      <w:pPr>
        <w:pStyle w:val="Calibri"/>
        <w:spacing w:after="240" w:line="360" w:lineRule="auto"/>
        <w:rPr>
          <w:rFonts w:ascii="Times New Roman" w:hAnsi="Times New Roman"/>
        </w:rPr>
      </w:pPr>
      <w:r>
        <w:rPr>
          <w:rFonts w:ascii="Times New Roman" w:hAnsi="Times New Roman"/>
        </w:rPr>
        <w:t>Studentica</w:t>
      </w:r>
      <w:r w:rsidR="007A2370" w:rsidRPr="00CF7119">
        <w:rPr>
          <w:rFonts w:ascii="Times New Roman" w:hAnsi="Times New Roman"/>
        </w:rPr>
        <w:t xml:space="preserve"> </w:t>
      </w:r>
      <w:r>
        <w:rPr>
          <w:rFonts w:ascii="Times New Roman" w:hAnsi="Times New Roman"/>
        </w:rPr>
        <w:t>1</w:t>
      </w:r>
      <w:r w:rsidR="007A2370" w:rsidRPr="00CF7119">
        <w:rPr>
          <w:rFonts w:ascii="Times New Roman" w:hAnsi="Times New Roman"/>
        </w:rPr>
        <w:t xml:space="preserve">. godine </w:t>
      </w:r>
      <w:r w:rsidR="00DB680C">
        <w:rPr>
          <w:rFonts w:ascii="Times New Roman" w:hAnsi="Times New Roman"/>
        </w:rPr>
        <w:t>poslije</w:t>
      </w:r>
      <w:r w:rsidR="007A2370" w:rsidRPr="00CF7119">
        <w:rPr>
          <w:rFonts w:ascii="Times New Roman" w:hAnsi="Times New Roman"/>
        </w:rPr>
        <w:t>diplomskog sveučilišnog studija K</w:t>
      </w:r>
      <w:r w:rsidR="007A2370">
        <w:rPr>
          <w:rFonts w:ascii="Times New Roman" w:hAnsi="Times New Roman"/>
        </w:rPr>
        <w:t>emija</w:t>
      </w:r>
    </w:p>
    <w:p w14:paraId="3E3D1321" w14:textId="77777777" w:rsidR="00195AED" w:rsidRPr="00C1028F" w:rsidRDefault="00195AED" w:rsidP="00C1028F">
      <w:pPr>
        <w:rPr>
          <w:b/>
          <w:sz w:val="44"/>
          <w:szCs w:val="44"/>
          <w:lang w:val="hr-HR"/>
        </w:rPr>
      </w:pPr>
    </w:p>
    <w:p w14:paraId="5982D79E" w14:textId="093A912A" w:rsidR="00195AED" w:rsidRPr="00C1028F" w:rsidRDefault="00C1028F" w:rsidP="00C1028F">
      <w:pPr>
        <w:spacing w:line="276" w:lineRule="auto"/>
        <w:jc w:val="center"/>
        <w:rPr>
          <w:b/>
          <w:sz w:val="44"/>
          <w:szCs w:val="44"/>
          <w:lang w:val="hr-HR"/>
        </w:rPr>
      </w:pPr>
      <w:r w:rsidRPr="00C1028F">
        <w:rPr>
          <w:b/>
          <w:color w:val="2C363A"/>
          <w:sz w:val="44"/>
          <w:szCs w:val="44"/>
          <w:shd w:val="clear" w:color="auto" w:fill="FFFFFF"/>
        </w:rPr>
        <w:t xml:space="preserve">Monometinske cijaninske boje kao fluorescentne probe: </w:t>
      </w:r>
      <w:r w:rsidR="00451899">
        <w:rPr>
          <w:b/>
          <w:color w:val="2C363A"/>
          <w:sz w:val="44"/>
          <w:szCs w:val="44"/>
          <w:shd w:val="clear" w:color="auto" w:fill="FFFFFF"/>
        </w:rPr>
        <w:t>interakcija s biomolekulama i fotofizikalna svojstva</w:t>
      </w:r>
    </w:p>
    <w:p w14:paraId="0B96AB88" w14:textId="77777777" w:rsidR="00195AED" w:rsidRPr="00754D97" w:rsidRDefault="00195AED" w:rsidP="00195AED">
      <w:pPr>
        <w:spacing w:line="276" w:lineRule="auto"/>
        <w:jc w:val="center"/>
        <w:rPr>
          <w:sz w:val="32"/>
          <w:szCs w:val="32"/>
          <w:lang w:val="hr-HR"/>
        </w:rPr>
      </w:pPr>
    </w:p>
    <w:p w14:paraId="2E3F3FCC" w14:textId="77777777" w:rsidR="00195AED" w:rsidRPr="00754D97" w:rsidRDefault="00195AED" w:rsidP="00195AED">
      <w:pPr>
        <w:jc w:val="center"/>
        <w:rPr>
          <w:sz w:val="32"/>
          <w:szCs w:val="32"/>
          <w:lang w:val="hr-HR"/>
        </w:rPr>
      </w:pPr>
    </w:p>
    <w:p w14:paraId="4B7F4236" w14:textId="7ABA2C4B" w:rsidR="00195AED" w:rsidRDefault="00DB680C" w:rsidP="00195AED">
      <w:pPr>
        <w:spacing w:after="120" w:line="360" w:lineRule="auto"/>
        <w:jc w:val="center"/>
        <w:rPr>
          <w:sz w:val="28"/>
          <w:szCs w:val="28"/>
          <w:lang w:val="hr-HR"/>
        </w:rPr>
      </w:pPr>
      <w:r>
        <w:rPr>
          <w:b/>
          <w:sz w:val="28"/>
          <w:szCs w:val="28"/>
          <w:lang w:val="hr-HR"/>
        </w:rPr>
        <w:t>Kemijski seminar I</w:t>
      </w:r>
    </w:p>
    <w:p w14:paraId="2DE0F292" w14:textId="68453A3A" w:rsidR="0075713F" w:rsidRPr="0075713F" w:rsidRDefault="0075713F" w:rsidP="00195AED">
      <w:pPr>
        <w:spacing w:after="120" w:line="360" w:lineRule="auto"/>
        <w:jc w:val="center"/>
        <w:rPr>
          <w:sz w:val="22"/>
          <w:szCs w:val="28"/>
          <w:lang w:val="hr-HR"/>
        </w:rPr>
      </w:pPr>
      <w:r w:rsidRPr="0075713F">
        <w:rPr>
          <w:sz w:val="22"/>
          <w:szCs w:val="28"/>
          <w:lang w:val="hr-HR"/>
        </w:rPr>
        <w:t xml:space="preserve">prema radu: </w:t>
      </w:r>
      <w:r w:rsidR="00A7492D" w:rsidRPr="00476083">
        <w:rPr>
          <w:noProof/>
        </w:rPr>
        <w:t>N. Is</w:t>
      </w:r>
      <w:r w:rsidR="00A7492D">
        <w:rPr>
          <w:noProof/>
        </w:rPr>
        <w:t>hkitiev, M. Micheva, M. Miteva et al.</w:t>
      </w:r>
      <w:r w:rsidR="00A7492D" w:rsidRPr="00476083">
        <w:rPr>
          <w:noProof/>
        </w:rPr>
        <w:t xml:space="preserve">, </w:t>
      </w:r>
      <w:r w:rsidR="00A7492D" w:rsidRPr="00476083">
        <w:rPr>
          <w:i/>
          <w:iCs/>
          <w:noProof/>
        </w:rPr>
        <w:t>Molecules</w:t>
      </w:r>
      <w:r w:rsidR="00A7492D" w:rsidRPr="00476083">
        <w:rPr>
          <w:noProof/>
        </w:rPr>
        <w:t xml:space="preserve"> </w:t>
      </w:r>
      <w:r w:rsidR="00A7492D" w:rsidRPr="00476083">
        <w:rPr>
          <w:b/>
          <w:bCs/>
          <w:noProof/>
        </w:rPr>
        <w:t>29</w:t>
      </w:r>
      <w:r w:rsidR="00A7492D" w:rsidRPr="00476083">
        <w:rPr>
          <w:noProof/>
        </w:rPr>
        <w:t xml:space="preserve"> (2024)</w:t>
      </w:r>
      <w:r w:rsidR="00A7492D">
        <w:rPr>
          <w:noProof/>
        </w:rPr>
        <w:t xml:space="preserve"> 6038</w:t>
      </w:r>
      <w:r w:rsidR="00A7492D" w:rsidRPr="00476083">
        <w:rPr>
          <w:noProof/>
        </w:rPr>
        <w:t>.</w:t>
      </w:r>
    </w:p>
    <w:p w14:paraId="059D9F42" w14:textId="77777777" w:rsidR="00195AED" w:rsidRPr="00195AED" w:rsidRDefault="00195AED" w:rsidP="00195AED">
      <w:pPr>
        <w:spacing w:line="360" w:lineRule="auto"/>
        <w:jc w:val="center"/>
        <w:rPr>
          <w:sz w:val="28"/>
          <w:szCs w:val="28"/>
          <w:lang w:val="hr-HR"/>
        </w:rPr>
      </w:pPr>
    </w:p>
    <w:p w14:paraId="0AF35BF4" w14:textId="77777777" w:rsidR="00195AED" w:rsidRPr="00754D97" w:rsidRDefault="00195AED" w:rsidP="00195AED">
      <w:pPr>
        <w:jc w:val="center"/>
        <w:rPr>
          <w:rFonts w:ascii="Arial Narrow" w:hAnsi="Arial Narrow" w:cs="Arial Narrow"/>
          <w:sz w:val="32"/>
          <w:szCs w:val="32"/>
          <w:lang w:val="de-DE"/>
        </w:rPr>
      </w:pPr>
    </w:p>
    <w:p w14:paraId="6B2AE3EB" w14:textId="77777777" w:rsidR="00195AED" w:rsidRPr="00754D97" w:rsidRDefault="00195AED" w:rsidP="00940D56">
      <w:pPr>
        <w:rPr>
          <w:rFonts w:ascii="Arial Narrow" w:hAnsi="Arial Narrow" w:cs="Arial Narrow"/>
          <w:sz w:val="32"/>
          <w:szCs w:val="32"/>
          <w:lang w:val="de-DE"/>
        </w:rPr>
      </w:pPr>
    </w:p>
    <w:p w14:paraId="6776A6C7" w14:textId="77777777" w:rsidR="00195AED" w:rsidRPr="00754D97" w:rsidRDefault="00195AED" w:rsidP="00195AED">
      <w:pPr>
        <w:jc w:val="center"/>
        <w:rPr>
          <w:rFonts w:ascii="Arial Narrow" w:hAnsi="Arial Narrow" w:cs="Arial Narrow"/>
          <w:sz w:val="32"/>
          <w:szCs w:val="32"/>
          <w:lang w:val="de-DE"/>
        </w:rPr>
      </w:pPr>
    </w:p>
    <w:p w14:paraId="4DE91C99" w14:textId="77777777" w:rsidR="00195AED" w:rsidRPr="00754D97" w:rsidRDefault="00195AED" w:rsidP="00195AED">
      <w:pPr>
        <w:jc w:val="center"/>
        <w:rPr>
          <w:rFonts w:ascii="Arial Narrow" w:hAnsi="Arial Narrow" w:cs="Arial Narrow"/>
          <w:sz w:val="32"/>
          <w:szCs w:val="32"/>
          <w:lang w:val="de-DE"/>
        </w:rPr>
      </w:pPr>
    </w:p>
    <w:p w14:paraId="02FB008A" w14:textId="36273058" w:rsidR="00195AED" w:rsidRPr="00754D97" w:rsidRDefault="00195AED" w:rsidP="00195AED">
      <w:pPr>
        <w:jc w:val="center"/>
        <w:rPr>
          <w:sz w:val="28"/>
          <w:szCs w:val="28"/>
        </w:rPr>
      </w:pPr>
      <w:r w:rsidRPr="00754D97">
        <w:rPr>
          <w:sz w:val="28"/>
          <w:szCs w:val="28"/>
          <w:lang w:val="de-DE"/>
        </w:rPr>
        <w:t>Zagreb</w:t>
      </w:r>
      <w:r w:rsidRPr="00195AED">
        <w:rPr>
          <w:sz w:val="28"/>
          <w:szCs w:val="28"/>
          <w:lang w:val="hr-HR"/>
        </w:rPr>
        <w:t xml:space="preserve">, </w:t>
      </w:r>
      <w:r w:rsidR="00DB680C">
        <w:rPr>
          <w:sz w:val="28"/>
          <w:szCs w:val="28"/>
          <w:lang w:val="hr-HR"/>
        </w:rPr>
        <w:t>27. svibnja 2026.</w:t>
      </w:r>
    </w:p>
    <w:p w14:paraId="0E4ACB8B" w14:textId="77777777" w:rsidR="00195AED" w:rsidRPr="00A44071" w:rsidRDefault="00195AED" w:rsidP="00195AED">
      <w:pPr>
        <w:pStyle w:val="OCJENSKIRADOVIFontParagraph"/>
        <w:sectPr w:rsidR="00195AED" w:rsidRPr="00A44071" w:rsidSect="00CF6BB4">
          <w:pgSz w:w="11907" w:h="16840" w:code="9"/>
          <w:pgMar w:top="1701" w:right="1418" w:bottom="1701" w:left="1418" w:header="1134" w:footer="1134" w:gutter="0"/>
          <w:pgNumType w:fmt="lowerRoman"/>
          <w:cols w:space="708"/>
          <w:docGrid w:linePitch="360"/>
        </w:sectPr>
      </w:pPr>
      <w:bookmarkStart w:id="0" w:name="_GoBack"/>
      <w:bookmarkEnd w:id="0"/>
    </w:p>
    <w:p w14:paraId="5EF6B084" w14:textId="77777777" w:rsidR="00424536" w:rsidRPr="00A44071" w:rsidRDefault="00424536" w:rsidP="00BE117C">
      <w:pPr>
        <w:pStyle w:val="OCJENSKIRADOVIFontParagraph"/>
      </w:pPr>
    </w:p>
    <w:p w14:paraId="38DE9970" w14:textId="77777777" w:rsidR="00424536" w:rsidRPr="00A44071" w:rsidRDefault="00424536" w:rsidP="00BE117C">
      <w:pPr>
        <w:pStyle w:val="OCJENSKIRADOVIFontParagraph"/>
      </w:pPr>
    </w:p>
    <w:p w14:paraId="4EB11D3A" w14:textId="77777777" w:rsidR="00424536" w:rsidRPr="00A44071" w:rsidRDefault="00424536" w:rsidP="00BE117C">
      <w:pPr>
        <w:pStyle w:val="OCJENSKIRADOVIFontParagraph"/>
        <w:sectPr w:rsidR="00424536" w:rsidRPr="00A44071" w:rsidSect="00CF6BB4">
          <w:pgSz w:w="11907" w:h="16840" w:code="9"/>
          <w:pgMar w:top="1701" w:right="1418" w:bottom="1701" w:left="1418" w:header="1134" w:footer="1134" w:gutter="0"/>
          <w:pgNumType w:fmt="lowerRoman"/>
          <w:cols w:space="708"/>
          <w:docGrid w:linePitch="360"/>
        </w:sectPr>
      </w:pPr>
    </w:p>
    <w:sdt>
      <w:sdtPr>
        <w:rPr>
          <w:rFonts w:ascii="Times New Roman" w:hAnsi="Times New Roman" w:cs="Times New Roman"/>
          <w:b w:val="0"/>
          <w:bCs w:val="0"/>
          <w:color w:val="auto"/>
          <w:sz w:val="24"/>
          <w:szCs w:val="24"/>
        </w:rPr>
        <w:id w:val="-823275896"/>
        <w:docPartObj>
          <w:docPartGallery w:val="Table of Contents"/>
          <w:docPartUnique/>
        </w:docPartObj>
      </w:sdtPr>
      <w:sdtEndPr>
        <w:rPr>
          <w:noProof/>
        </w:rPr>
      </w:sdtEndPr>
      <w:sdtContent>
        <w:p w14:paraId="3109ABED" w14:textId="1D735D34" w:rsidR="00171E1F" w:rsidRPr="00B55905" w:rsidRDefault="00171E1F">
          <w:pPr>
            <w:pStyle w:val="TOCHeading"/>
            <w:rPr>
              <w:color w:val="003399"/>
              <w:sz w:val="36"/>
              <w:szCs w:val="36"/>
              <w:lang w:val="hr-HR"/>
            </w:rPr>
          </w:pPr>
          <w:r w:rsidRPr="00B55905">
            <w:rPr>
              <w:color w:val="003399"/>
              <w:sz w:val="36"/>
              <w:szCs w:val="36"/>
              <w:lang w:val="hr-HR"/>
            </w:rPr>
            <w:t>Sadržaj</w:t>
          </w:r>
        </w:p>
        <w:p w14:paraId="6DCB44F7" w14:textId="77777777" w:rsidR="00171E1F" w:rsidRPr="00171E1F" w:rsidRDefault="00171E1F" w:rsidP="00171E1F"/>
        <w:p w14:paraId="10624BD3" w14:textId="77777777" w:rsidR="004B10C7" w:rsidRDefault="00171E1F">
          <w:pPr>
            <w:pStyle w:val="TOC1"/>
            <w:rPr>
              <w:rFonts w:asciiTheme="minorHAnsi" w:eastAsiaTheme="minorEastAsia" w:hAnsiTheme="minorHAnsi" w:cstheme="minorBidi"/>
              <w:b w:val="0"/>
              <w:bCs w:val="0"/>
              <w:caps w:val="0"/>
              <w:color w:val="auto"/>
              <w:sz w:val="22"/>
              <w:szCs w:val="22"/>
              <w:lang w:val="hr-HR" w:eastAsia="hr-HR"/>
            </w:rPr>
          </w:pPr>
          <w:r>
            <w:fldChar w:fldCharType="begin"/>
          </w:r>
          <w:r>
            <w:instrText xml:space="preserve"> TOC \o "1-3" \h \z \u </w:instrText>
          </w:r>
          <w:r>
            <w:fldChar w:fldCharType="separate"/>
          </w:r>
          <w:hyperlink w:anchor="_Toc225421344" w:history="1">
            <w:r w:rsidR="004B10C7" w:rsidRPr="00EE61A3">
              <w:rPr>
                <w:rStyle w:val="Hyperlink"/>
              </w:rPr>
              <w:t>§ 1.</w:t>
            </w:r>
            <w:r w:rsidR="004B10C7">
              <w:rPr>
                <w:rFonts w:asciiTheme="minorHAnsi" w:eastAsiaTheme="minorEastAsia" w:hAnsiTheme="minorHAnsi" w:cstheme="minorBidi"/>
                <w:b w:val="0"/>
                <w:bCs w:val="0"/>
                <w:caps w:val="0"/>
                <w:color w:val="auto"/>
                <w:sz w:val="22"/>
                <w:szCs w:val="22"/>
                <w:lang w:val="hr-HR" w:eastAsia="hr-HR"/>
              </w:rPr>
              <w:tab/>
            </w:r>
            <w:r w:rsidR="004B10C7" w:rsidRPr="00EE61A3">
              <w:rPr>
                <w:rStyle w:val="Hyperlink"/>
              </w:rPr>
              <w:t>UVOD</w:t>
            </w:r>
            <w:r w:rsidR="004B10C7">
              <w:rPr>
                <w:webHidden/>
              </w:rPr>
              <w:tab/>
            </w:r>
            <w:r w:rsidR="004B10C7">
              <w:rPr>
                <w:webHidden/>
              </w:rPr>
              <w:fldChar w:fldCharType="begin"/>
            </w:r>
            <w:r w:rsidR="004B10C7">
              <w:rPr>
                <w:webHidden/>
              </w:rPr>
              <w:instrText xml:space="preserve"> PAGEREF _Toc225421344 \h </w:instrText>
            </w:r>
            <w:r w:rsidR="004B10C7">
              <w:rPr>
                <w:webHidden/>
              </w:rPr>
            </w:r>
            <w:r w:rsidR="004B10C7">
              <w:rPr>
                <w:webHidden/>
              </w:rPr>
              <w:fldChar w:fldCharType="separate"/>
            </w:r>
            <w:r w:rsidR="004B10C7">
              <w:rPr>
                <w:webHidden/>
              </w:rPr>
              <w:t>4</w:t>
            </w:r>
            <w:r w:rsidR="004B10C7">
              <w:rPr>
                <w:webHidden/>
              </w:rPr>
              <w:fldChar w:fldCharType="end"/>
            </w:r>
          </w:hyperlink>
        </w:p>
        <w:p w14:paraId="26039CBE" w14:textId="77777777" w:rsidR="004B10C7" w:rsidRDefault="004B10C7">
          <w:pPr>
            <w:pStyle w:val="TOC2"/>
            <w:rPr>
              <w:rFonts w:asciiTheme="minorHAnsi" w:eastAsiaTheme="minorEastAsia" w:hAnsiTheme="minorHAnsi" w:cstheme="minorBidi"/>
              <w:b w:val="0"/>
              <w:bCs w:val="0"/>
              <w:noProof/>
              <w:lang w:val="hr-HR" w:eastAsia="hr-HR"/>
            </w:rPr>
          </w:pPr>
          <w:hyperlink w:anchor="_Toc225421345" w:history="1">
            <w:r w:rsidRPr="00EE61A3">
              <w:rPr>
                <w:rStyle w:val="Hyperlink"/>
                <w:noProof/>
              </w:rPr>
              <w:t>1.1.</w:t>
            </w:r>
            <w:r>
              <w:rPr>
                <w:rFonts w:asciiTheme="minorHAnsi" w:eastAsiaTheme="minorEastAsia" w:hAnsiTheme="minorHAnsi" w:cstheme="minorBidi"/>
                <w:b w:val="0"/>
                <w:bCs w:val="0"/>
                <w:noProof/>
                <w:lang w:val="hr-HR" w:eastAsia="hr-HR"/>
              </w:rPr>
              <w:tab/>
            </w:r>
            <w:r w:rsidRPr="00EE61A3">
              <w:rPr>
                <w:rStyle w:val="Hyperlink"/>
                <w:noProof/>
              </w:rPr>
              <w:t>Fluorescentne probe</w:t>
            </w:r>
            <w:r>
              <w:rPr>
                <w:noProof/>
                <w:webHidden/>
              </w:rPr>
              <w:tab/>
            </w:r>
            <w:r>
              <w:rPr>
                <w:noProof/>
                <w:webHidden/>
              </w:rPr>
              <w:fldChar w:fldCharType="begin"/>
            </w:r>
            <w:r>
              <w:rPr>
                <w:noProof/>
                <w:webHidden/>
              </w:rPr>
              <w:instrText xml:space="preserve"> PAGEREF _Toc225421345 \h </w:instrText>
            </w:r>
            <w:r>
              <w:rPr>
                <w:noProof/>
                <w:webHidden/>
              </w:rPr>
            </w:r>
            <w:r>
              <w:rPr>
                <w:noProof/>
                <w:webHidden/>
              </w:rPr>
              <w:fldChar w:fldCharType="separate"/>
            </w:r>
            <w:r>
              <w:rPr>
                <w:noProof/>
                <w:webHidden/>
              </w:rPr>
              <w:t>4</w:t>
            </w:r>
            <w:r>
              <w:rPr>
                <w:noProof/>
                <w:webHidden/>
              </w:rPr>
              <w:fldChar w:fldCharType="end"/>
            </w:r>
          </w:hyperlink>
        </w:p>
        <w:p w14:paraId="73A0FC9D" w14:textId="77777777" w:rsidR="004B10C7" w:rsidRDefault="004B10C7">
          <w:pPr>
            <w:pStyle w:val="TOC3"/>
            <w:rPr>
              <w:rFonts w:asciiTheme="minorHAnsi" w:eastAsiaTheme="minorEastAsia" w:hAnsiTheme="minorHAnsi" w:cstheme="minorBidi"/>
              <w:i w:val="0"/>
              <w:iCs w:val="0"/>
              <w:noProof/>
              <w:lang w:val="hr-HR" w:eastAsia="hr-HR"/>
            </w:rPr>
          </w:pPr>
          <w:hyperlink w:anchor="_Toc225421346" w:history="1">
            <w:r w:rsidRPr="00EE61A3">
              <w:rPr>
                <w:rStyle w:val="Hyperlink"/>
                <w:noProof/>
              </w:rPr>
              <w:t>1.1.1.</w:t>
            </w:r>
            <w:r>
              <w:rPr>
                <w:rFonts w:asciiTheme="minorHAnsi" w:eastAsiaTheme="minorEastAsia" w:hAnsiTheme="minorHAnsi" w:cstheme="minorBidi"/>
                <w:i w:val="0"/>
                <w:iCs w:val="0"/>
                <w:noProof/>
                <w:lang w:val="hr-HR" w:eastAsia="hr-HR"/>
              </w:rPr>
              <w:tab/>
            </w:r>
            <w:r w:rsidRPr="00EE61A3">
              <w:rPr>
                <w:rStyle w:val="Hyperlink"/>
                <w:noProof/>
              </w:rPr>
              <w:t>Cijaninske boje</w:t>
            </w:r>
            <w:r>
              <w:rPr>
                <w:noProof/>
                <w:webHidden/>
              </w:rPr>
              <w:tab/>
            </w:r>
            <w:r>
              <w:rPr>
                <w:noProof/>
                <w:webHidden/>
              </w:rPr>
              <w:fldChar w:fldCharType="begin"/>
            </w:r>
            <w:r>
              <w:rPr>
                <w:noProof/>
                <w:webHidden/>
              </w:rPr>
              <w:instrText xml:space="preserve"> PAGEREF _Toc225421346 \h </w:instrText>
            </w:r>
            <w:r>
              <w:rPr>
                <w:noProof/>
                <w:webHidden/>
              </w:rPr>
            </w:r>
            <w:r>
              <w:rPr>
                <w:noProof/>
                <w:webHidden/>
              </w:rPr>
              <w:fldChar w:fldCharType="separate"/>
            </w:r>
            <w:r>
              <w:rPr>
                <w:noProof/>
                <w:webHidden/>
              </w:rPr>
              <w:t>4</w:t>
            </w:r>
            <w:r>
              <w:rPr>
                <w:noProof/>
                <w:webHidden/>
              </w:rPr>
              <w:fldChar w:fldCharType="end"/>
            </w:r>
          </w:hyperlink>
        </w:p>
        <w:p w14:paraId="0207F9D7" w14:textId="77777777" w:rsidR="004B10C7" w:rsidRDefault="004B10C7">
          <w:pPr>
            <w:pStyle w:val="TOC3"/>
            <w:rPr>
              <w:rFonts w:asciiTheme="minorHAnsi" w:eastAsiaTheme="minorEastAsia" w:hAnsiTheme="minorHAnsi" w:cstheme="minorBidi"/>
              <w:i w:val="0"/>
              <w:iCs w:val="0"/>
              <w:noProof/>
              <w:lang w:val="hr-HR" w:eastAsia="hr-HR"/>
            </w:rPr>
          </w:pPr>
          <w:hyperlink w:anchor="_Toc225421347" w:history="1">
            <w:r w:rsidRPr="00EE61A3">
              <w:rPr>
                <w:rStyle w:val="Hyperlink"/>
                <w:noProof/>
              </w:rPr>
              <w:t>1.1.2.</w:t>
            </w:r>
            <w:r>
              <w:rPr>
                <w:rFonts w:asciiTheme="minorHAnsi" w:eastAsiaTheme="minorEastAsia" w:hAnsiTheme="minorHAnsi" w:cstheme="minorBidi"/>
                <w:i w:val="0"/>
                <w:iCs w:val="0"/>
                <w:noProof/>
                <w:lang w:val="hr-HR" w:eastAsia="hr-HR"/>
              </w:rPr>
              <w:tab/>
            </w:r>
            <w:r w:rsidRPr="00EE61A3">
              <w:rPr>
                <w:rStyle w:val="Hyperlink"/>
                <w:noProof/>
              </w:rPr>
              <w:t>Interakcija cijanina s polinukleotidima</w:t>
            </w:r>
            <w:r>
              <w:rPr>
                <w:noProof/>
                <w:webHidden/>
              </w:rPr>
              <w:tab/>
            </w:r>
            <w:r>
              <w:rPr>
                <w:noProof/>
                <w:webHidden/>
              </w:rPr>
              <w:fldChar w:fldCharType="begin"/>
            </w:r>
            <w:r>
              <w:rPr>
                <w:noProof/>
                <w:webHidden/>
              </w:rPr>
              <w:instrText xml:space="preserve"> PAGEREF _Toc225421347 \h </w:instrText>
            </w:r>
            <w:r>
              <w:rPr>
                <w:noProof/>
                <w:webHidden/>
              </w:rPr>
            </w:r>
            <w:r>
              <w:rPr>
                <w:noProof/>
                <w:webHidden/>
              </w:rPr>
              <w:fldChar w:fldCharType="separate"/>
            </w:r>
            <w:r>
              <w:rPr>
                <w:noProof/>
                <w:webHidden/>
              </w:rPr>
              <w:t>5</w:t>
            </w:r>
            <w:r>
              <w:rPr>
                <w:noProof/>
                <w:webHidden/>
              </w:rPr>
              <w:fldChar w:fldCharType="end"/>
            </w:r>
          </w:hyperlink>
        </w:p>
        <w:p w14:paraId="070868AD" w14:textId="77777777" w:rsidR="004B10C7" w:rsidRDefault="004B10C7">
          <w:pPr>
            <w:pStyle w:val="TOC1"/>
            <w:rPr>
              <w:rFonts w:asciiTheme="minorHAnsi" w:eastAsiaTheme="minorEastAsia" w:hAnsiTheme="minorHAnsi" w:cstheme="minorBidi"/>
              <w:b w:val="0"/>
              <w:bCs w:val="0"/>
              <w:caps w:val="0"/>
              <w:color w:val="auto"/>
              <w:sz w:val="22"/>
              <w:szCs w:val="22"/>
              <w:lang w:val="hr-HR" w:eastAsia="hr-HR"/>
            </w:rPr>
          </w:pPr>
          <w:hyperlink w:anchor="_Toc225421348" w:history="1">
            <w:r w:rsidRPr="00EE61A3">
              <w:rPr>
                <w:rStyle w:val="Hyperlink"/>
              </w:rPr>
              <w:t>§ 2.</w:t>
            </w:r>
            <w:r>
              <w:rPr>
                <w:rFonts w:asciiTheme="minorHAnsi" w:eastAsiaTheme="minorEastAsia" w:hAnsiTheme="minorHAnsi" w:cstheme="minorBidi"/>
                <w:b w:val="0"/>
                <w:bCs w:val="0"/>
                <w:caps w:val="0"/>
                <w:color w:val="auto"/>
                <w:sz w:val="22"/>
                <w:szCs w:val="22"/>
                <w:lang w:val="hr-HR" w:eastAsia="hr-HR"/>
              </w:rPr>
              <w:tab/>
            </w:r>
            <w:r w:rsidRPr="00EE61A3">
              <w:rPr>
                <w:rStyle w:val="Hyperlink"/>
              </w:rPr>
              <w:t>SINTEZA I ANALIZA INTERAKCIJA BOJE r9 S POLINUKLEOTIDIMA</w:t>
            </w:r>
            <w:r>
              <w:rPr>
                <w:webHidden/>
              </w:rPr>
              <w:tab/>
            </w:r>
            <w:r>
              <w:rPr>
                <w:webHidden/>
              </w:rPr>
              <w:fldChar w:fldCharType="begin"/>
            </w:r>
            <w:r>
              <w:rPr>
                <w:webHidden/>
              </w:rPr>
              <w:instrText xml:space="preserve"> PAGEREF _Toc225421348 \h </w:instrText>
            </w:r>
            <w:r>
              <w:rPr>
                <w:webHidden/>
              </w:rPr>
            </w:r>
            <w:r>
              <w:rPr>
                <w:webHidden/>
              </w:rPr>
              <w:fldChar w:fldCharType="separate"/>
            </w:r>
            <w:r>
              <w:rPr>
                <w:webHidden/>
              </w:rPr>
              <w:t>8</w:t>
            </w:r>
            <w:r>
              <w:rPr>
                <w:webHidden/>
              </w:rPr>
              <w:fldChar w:fldCharType="end"/>
            </w:r>
          </w:hyperlink>
        </w:p>
        <w:p w14:paraId="68A477D5" w14:textId="77777777" w:rsidR="004B10C7" w:rsidRDefault="004B10C7">
          <w:pPr>
            <w:pStyle w:val="TOC2"/>
            <w:rPr>
              <w:rFonts w:asciiTheme="minorHAnsi" w:eastAsiaTheme="minorEastAsia" w:hAnsiTheme="minorHAnsi" w:cstheme="minorBidi"/>
              <w:b w:val="0"/>
              <w:bCs w:val="0"/>
              <w:noProof/>
              <w:lang w:val="hr-HR" w:eastAsia="hr-HR"/>
            </w:rPr>
          </w:pPr>
          <w:hyperlink w:anchor="_Toc225421349" w:history="1">
            <w:r w:rsidRPr="00EE61A3">
              <w:rPr>
                <w:rStyle w:val="Hyperlink"/>
                <w:noProof/>
              </w:rPr>
              <w:t>2.1.</w:t>
            </w:r>
            <w:r>
              <w:rPr>
                <w:rFonts w:asciiTheme="minorHAnsi" w:eastAsiaTheme="minorEastAsia" w:hAnsiTheme="minorHAnsi" w:cstheme="minorBidi"/>
                <w:b w:val="0"/>
                <w:bCs w:val="0"/>
                <w:noProof/>
                <w:lang w:val="hr-HR" w:eastAsia="hr-HR"/>
              </w:rPr>
              <w:tab/>
            </w:r>
            <w:r w:rsidRPr="00EE61A3">
              <w:rPr>
                <w:rStyle w:val="Hyperlink"/>
                <w:noProof/>
              </w:rPr>
              <w:t>Sinteza</w:t>
            </w:r>
            <w:r>
              <w:rPr>
                <w:noProof/>
                <w:webHidden/>
              </w:rPr>
              <w:tab/>
            </w:r>
            <w:r>
              <w:rPr>
                <w:noProof/>
                <w:webHidden/>
              </w:rPr>
              <w:fldChar w:fldCharType="begin"/>
            </w:r>
            <w:r>
              <w:rPr>
                <w:noProof/>
                <w:webHidden/>
              </w:rPr>
              <w:instrText xml:space="preserve"> PAGEREF _Toc225421349 \h </w:instrText>
            </w:r>
            <w:r>
              <w:rPr>
                <w:noProof/>
                <w:webHidden/>
              </w:rPr>
            </w:r>
            <w:r>
              <w:rPr>
                <w:noProof/>
                <w:webHidden/>
              </w:rPr>
              <w:fldChar w:fldCharType="separate"/>
            </w:r>
            <w:r>
              <w:rPr>
                <w:noProof/>
                <w:webHidden/>
              </w:rPr>
              <w:t>8</w:t>
            </w:r>
            <w:r>
              <w:rPr>
                <w:noProof/>
                <w:webHidden/>
              </w:rPr>
              <w:fldChar w:fldCharType="end"/>
            </w:r>
          </w:hyperlink>
        </w:p>
        <w:p w14:paraId="0896260D" w14:textId="77777777" w:rsidR="004B10C7" w:rsidRDefault="004B10C7">
          <w:pPr>
            <w:pStyle w:val="TOC2"/>
            <w:rPr>
              <w:rFonts w:asciiTheme="minorHAnsi" w:eastAsiaTheme="minorEastAsia" w:hAnsiTheme="minorHAnsi" w:cstheme="minorBidi"/>
              <w:b w:val="0"/>
              <w:bCs w:val="0"/>
              <w:noProof/>
              <w:lang w:val="hr-HR" w:eastAsia="hr-HR"/>
            </w:rPr>
          </w:pPr>
          <w:hyperlink w:anchor="_Toc225421350" w:history="1">
            <w:r w:rsidRPr="00EE61A3">
              <w:rPr>
                <w:rStyle w:val="Hyperlink"/>
                <w:noProof/>
              </w:rPr>
              <w:t>2.2.</w:t>
            </w:r>
            <w:r>
              <w:rPr>
                <w:rFonts w:asciiTheme="minorHAnsi" w:eastAsiaTheme="minorEastAsia" w:hAnsiTheme="minorHAnsi" w:cstheme="minorBidi"/>
                <w:b w:val="0"/>
                <w:bCs w:val="0"/>
                <w:noProof/>
                <w:lang w:val="hr-HR" w:eastAsia="hr-HR"/>
              </w:rPr>
              <w:tab/>
            </w:r>
            <w:r w:rsidRPr="00EE61A3">
              <w:rPr>
                <w:rStyle w:val="Hyperlink"/>
                <w:noProof/>
              </w:rPr>
              <w:t>Metode ispitivanja interakcija cijaninske boje s polinukleotidima</w:t>
            </w:r>
            <w:r>
              <w:rPr>
                <w:noProof/>
                <w:webHidden/>
              </w:rPr>
              <w:tab/>
            </w:r>
            <w:r>
              <w:rPr>
                <w:noProof/>
                <w:webHidden/>
              </w:rPr>
              <w:fldChar w:fldCharType="begin"/>
            </w:r>
            <w:r>
              <w:rPr>
                <w:noProof/>
                <w:webHidden/>
              </w:rPr>
              <w:instrText xml:space="preserve"> PAGEREF _Toc225421350 \h </w:instrText>
            </w:r>
            <w:r>
              <w:rPr>
                <w:noProof/>
                <w:webHidden/>
              </w:rPr>
            </w:r>
            <w:r>
              <w:rPr>
                <w:noProof/>
                <w:webHidden/>
              </w:rPr>
              <w:fldChar w:fldCharType="separate"/>
            </w:r>
            <w:r>
              <w:rPr>
                <w:noProof/>
                <w:webHidden/>
              </w:rPr>
              <w:t>9</w:t>
            </w:r>
            <w:r>
              <w:rPr>
                <w:noProof/>
                <w:webHidden/>
              </w:rPr>
              <w:fldChar w:fldCharType="end"/>
            </w:r>
          </w:hyperlink>
        </w:p>
        <w:p w14:paraId="033E78B3" w14:textId="77777777" w:rsidR="004B10C7" w:rsidRDefault="004B10C7">
          <w:pPr>
            <w:pStyle w:val="TOC3"/>
            <w:rPr>
              <w:rFonts w:asciiTheme="minorHAnsi" w:eastAsiaTheme="minorEastAsia" w:hAnsiTheme="minorHAnsi" w:cstheme="minorBidi"/>
              <w:i w:val="0"/>
              <w:iCs w:val="0"/>
              <w:noProof/>
              <w:lang w:val="hr-HR" w:eastAsia="hr-HR"/>
            </w:rPr>
          </w:pPr>
          <w:hyperlink w:anchor="_Toc225421351" w:history="1">
            <w:r w:rsidRPr="00EE61A3">
              <w:rPr>
                <w:rStyle w:val="Hyperlink"/>
                <w:noProof/>
              </w:rPr>
              <w:t>2.2.1.</w:t>
            </w:r>
            <w:r>
              <w:rPr>
                <w:rFonts w:asciiTheme="minorHAnsi" w:eastAsiaTheme="minorEastAsia" w:hAnsiTheme="minorHAnsi" w:cstheme="minorBidi"/>
                <w:i w:val="0"/>
                <w:iCs w:val="0"/>
                <w:noProof/>
                <w:lang w:val="hr-HR" w:eastAsia="hr-HR"/>
              </w:rPr>
              <w:tab/>
            </w:r>
            <w:r w:rsidRPr="00EE61A3">
              <w:rPr>
                <w:rStyle w:val="Hyperlink"/>
                <w:noProof/>
              </w:rPr>
              <w:t>UV/Vis i fluorimetrijske titracije</w:t>
            </w:r>
            <w:r>
              <w:rPr>
                <w:noProof/>
                <w:webHidden/>
              </w:rPr>
              <w:tab/>
            </w:r>
            <w:r>
              <w:rPr>
                <w:noProof/>
                <w:webHidden/>
              </w:rPr>
              <w:fldChar w:fldCharType="begin"/>
            </w:r>
            <w:r>
              <w:rPr>
                <w:noProof/>
                <w:webHidden/>
              </w:rPr>
              <w:instrText xml:space="preserve"> PAGEREF _Toc225421351 \h </w:instrText>
            </w:r>
            <w:r>
              <w:rPr>
                <w:noProof/>
                <w:webHidden/>
              </w:rPr>
            </w:r>
            <w:r>
              <w:rPr>
                <w:noProof/>
                <w:webHidden/>
              </w:rPr>
              <w:fldChar w:fldCharType="separate"/>
            </w:r>
            <w:r>
              <w:rPr>
                <w:noProof/>
                <w:webHidden/>
              </w:rPr>
              <w:t>9</w:t>
            </w:r>
            <w:r>
              <w:rPr>
                <w:noProof/>
                <w:webHidden/>
              </w:rPr>
              <w:fldChar w:fldCharType="end"/>
            </w:r>
          </w:hyperlink>
        </w:p>
        <w:p w14:paraId="0EA91271" w14:textId="77777777" w:rsidR="004B10C7" w:rsidRDefault="004B10C7">
          <w:pPr>
            <w:pStyle w:val="TOC3"/>
            <w:rPr>
              <w:rFonts w:asciiTheme="minorHAnsi" w:eastAsiaTheme="minorEastAsia" w:hAnsiTheme="minorHAnsi" w:cstheme="minorBidi"/>
              <w:i w:val="0"/>
              <w:iCs w:val="0"/>
              <w:noProof/>
              <w:lang w:val="hr-HR" w:eastAsia="hr-HR"/>
            </w:rPr>
          </w:pPr>
          <w:hyperlink w:anchor="_Toc225421352" w:history="1">
            <w:r w:rsidRPr="00EE61A3">
              <w:rPr>
                <w:rStyle w:val="Hyperlink"/>
                <w:noProof/>
              </w:rPr>
              <w:t>2.2.2.</w:t>
            </w:r>
            <w:r>
              <w:rPr>
                <w:rFonts w:asciiTheme="minorHAnsi" w:eastAsiaTheme="minorEastAsia" w:hAnsiTheme="minorHAnsi" w:cstheme="minorBidi"/>
                <w:i w:val="0"/>
                <w:iCs w:val="0"/>
                <w:noProof/>
                <w:lang w:val="hr-HR" w:eastAsia="hr-HR"/>
              </w:rPr>
              <w:tab/>
            </w:r>
            <w:r w:rsidRPr="00EE61A3">
              <w:rPr>
                <w:rStyle w:val="Hyperlink"/>
                <w:noProof/>
              </w:rPr>
              <w:t>CD spektroskopija</w:t>
            </w:r>
            <w:r>
              <w:rPr>
                <w:noProof/>
                <w:webHidden/>
              </w:rPr>
              <w:tab/>
            </w:r>
            <w:r>
              <w:rPr>
                <w:noProof/>
                <w:webHidden/>
              </w:rPr>
              <w:fldChar w:fldCharType="begin"/>
            </w:r>
            <w:r>
              <w:rPr>
                <w:noProof/>
                <w:webHidden/>
              </w:rPr>
              <w:instrText xml:space="preserve"> PAGEREF _Toc225421352 \h </w:instrText>
            </w:r>
            <w:r>
              <w:rPr>
                <w:noProof/>
                <w:webHidden/>
              </w:rPr>
            </w:r>
            <w:r>
              <w:rPr>
                <w:noProof/>
                <w:webHidden/>
              </w:rPr>
              <w:fldChar w:fldCharType="separate"/>
            </w:r>
            <w:r>
              <w:rPr>
                <w:noProof/>
                <w:webHidden/>
              </w:rPr>
              <w:t>11</w:t>
            </w:r>
            <w:r>
              <w:rPr>
                <w:noProof/>
                <w:webHidden/>
              </w:rPr>
              <w:fldChar w:fldCharType="end"/>
            </w:r>
          </w:hyperlink>
        </w:p>
        <w:p w14:paraId="0735415D" w14:textId="77777777" w:rsidR="004B10C7" w:rsidRDefault="004B10C7">
          <w:pPr>
            <w:pStyle w:val="TOC3"/>
            <w:rPr>
              <w:rFonts w:asciiTheme="minorHAnsi" w:eastAsiaTheme="minorEastAsia" w:hAnsiTheme="minorHAnsi" w:cstheme="minorBidi"/>
              <w:i w:val="0"/>
              <w:iCs w:val="0"/>
              <w:noProof/>
              <w:lang w:val="hr-HR" w:eastAsia="hr-HR"/>
            </w:rPr>
          </w:pPr>
          <w:hyperlink w:anchor="_Toc225421353" w:history="1">
            <w:r w:rsidRPr="00EE61A3">
              <w:rPr>
                <w:rStyle w:val="Hyperlink"/>
                <w:noProof/>
              </w:rPr>
              <w:t>2.2.3.</w:t>
            </w:r>
            <w:r>
              <w:rPr>
                <w:rFonts w:asciiTheme="minorHAnsi" w:eastAsiaTheme="minorEastAsia" w:hAnsiTheme="minorHAnsi" w:cstheme="minorBidi"/>
                <w:i w:val="0"/>
                <w:iCs w:val="0"/>
                <w:noProof/>
                <w:lang w:val="hr-HR" w:eastAsia="hr-HR"/>
              </w:rPr>
              <w:tab/>
            </w:r>
            <w:r w:rsidRPr="00EE61A3">
              <w:rPr>
                <w:rStyle w:val="Hyperlink"/>
                <w:noProof/>
              </w:rPr>
              <w:t>DFT proračuni</w:t>
            </w:r>
            <w:r>
              <w:rPr>
                <w:noProof/>
                <w:webHidden/>
              </w:rPr>
              <w:tab/>
            </w:r>
            <w:r>
              <w:rPr>
                <w:noProof/>
                <w:webHidden/>
              </w:rPr>
              <w:fldChar w:fldCharType="begin"/>
            </w:r>
            <w:r>
              <w:rPr>
                <w:noProof/>
                <w:webHidden/>
              </w:rPr>
              <w:instrText xml:space="preserve"> PAGEREF _Toc225421353 \h </w:instrText>
            </w:r>
            <w:r>
              <w:rPr>
                <w:noProof/>
                <w:webHidden/>
              </w:rPr>
            </w:r>
            <w:r>
              <w:rPr>
                <w:noProof/>
                <w:webHidden/>
              </w:rPr>
              <w:fldChar w:fldCharType="separate"/>
            </w:r>
            <w:r>
              <w:rPr>
                <w:noProof/>
                <w:webHidden/>
              </w:rPr>
              <w:t>12</w:t>
            </w:r>
            <w:r>
              <w:rPr>
                <w:noProof/>
                <w:webHidden/>
              </w:rPr>
              <w:fldChar w:fldCharType="end"/>
            </w:r>
          </w:hyperlink>
        </w:p>
        <w:p w14:paraId="21193BC4" w14:textId="77777777" w:rsidR="004B10C7" w:rsidRDefault="004B10C7">
          <w:pPr>
            <w:pStyle w:val="TOC2"/>
            <w:rPr>
              <w:rFonts w:asciiTheme="minorHAnsi" w:eastAsiaTheme="minorEastAsia" w:hAnsiTheme="minorHAnsi" w:cstheme="minorBidi"/>
              <w:b w:val="0"/>
              <w:bCs w:val="0"/>
              <w:noProof/>
              <w:lang w:val="hr-HR" w:eastAsia="hr-HR"/>
            </w:rPr>
          </w:pPr>
          <w:hyperlink w:anchor="_Toc225421354" w:history="1">
            <w:r w:rsidRPr="00EE61A3">
              <w:rPr>
                <w:rStyle w:val="Hyperlink"/>
                <w:noProof/>
              </w:rPr>
              <w:t>2.3.</w:t>
            </w:r>
            <w:r>
              <w:rPr>
                <w:rFonts w:asciiTheme="minorHAnsi" w:eastAsiaTheme="minorEastAsia" w:hAnsiTheme="minorHAnsi" w:cstheme="minorBidi"/>
                <w:b w:val="0"/>
                <w:bCs w:val="0"/>
                <w:noProof/>
                <w:lang w:val="hr-HR" w:eastAsia="hr-HR"/>
              </w:rPr>
              <w:tab/>
            </w:r>
            <w:r w:rsidRPr="00EE61A3">
              <w:rPr>
                <w:rStyle w:val="Hyperlink"/>
                <w:noProof/>
              </w:rPr>
              <w:t>Biološka ispitivanja</w:t>
            </w:r>
            <w:r>
              <w:rPr>
                <w:noProof/>
                <w:webHidden/>
              </w:rPr>
              <w:tab/>
            </w:r>
            <w:r>
              <w:rPr>
                <w:noProof/>
                <w:webHidden/>
              </w:rPr>
              <w:fldChar w:fldCharType="begin"/>
            </w:r>
            <w:r>
              <w:rPr>
                <w:noProof/>
                <w:webHidden/>
              </w:rPr>
              <w:instrText xml:space="preserve"> PAGEREF _Toc225421354 \h </w:instrText>
            </w:r>
            <w:r>
              <w:rPr>
                <w:noProof/>
                <w:webHidden/>
              </w:rPr>
            </w:r>
            <w:r>
              <w:rPr>
                <w:noProof/>
                <w:webHidden/>
              </w:rPr>
              <w:fldChar w:fldCharType="separate"/>
            </w:r>
            <w:r>
              <w:rPr>
                <w:noProof/>
                <w:webHidden/>
              </w:rPr>
              <w:t>12</w:t>
            </w:r>
            <w:r>
              <w:rPr>
                <w:noProof/>
                <w:webHidden/>
              </w:rPr>
              <w:fldChar w:fldCharType="end"/>
            </w:r>
          </w:hyperlink>
        </w:p>
        <w:p w14:paraId="6016A3C5" w14:textId="77777777" w:rsidR="004B10C7" w:rsidRDefault="004B10C7">
          <w:pPr>
            <w:pStyle w:val="TOC1"/>
            <w:rPr>
              <w:rFonts w:asciiTheme="minorHAnsi" w:eastAsiaTheme="minorEastAsia" w:hAnsiTheme="minorHAnsi" w:cstheme="minorBidi"/>
              <w:b w:val="0"/>
              <w:bCs w:val="0"/>
              <w:caps w:val="0"/>
              <w:color w:val="auto"/>
              <w:sz w:val="22"/>
              <w:szCs w:val="22"/>
              <w:lang w:val="hr-HR" w:eastAsia="hr-HR"/>
            </w:rPr>
          </w:pPr>
          <w:hyperlink w:anchor="_Toc225421355" w:history="1">
            <w:r w:rsidRPr="00EE61A3">
              <w:rPr>
                <w:rStyle w:val="Hyperlink"/>
              </w:rPr>
              <w:t>§ 3.</w:t>
            </w:r>
            <w:r>
              <w:rPr>
                <w:rFonts w:asciiTheme="minorHAnsi" w:eastAsiaTheme="minorEastAsia" w:hAnsiTheme="minorHAnsi" w:cstheme="minorBidi"/>
                <w:b w:val="0"/>
                <w:bCs w:val="0"/>
                <w:caps w:val="0"/>
                <w:color w:val="auto"/>
                <w:sz w:val="22"/>
                <w:szCs w:val="22"/>
                <w:lang w:val="hr-HR" w:eastAsia="hr-HR"/>
              </w:rPr>
              <w:tab/>
            </w:r>
            <w:r w:rsidRPr="00EE61A3">
              <w:rPr>
                <w:rStyle w:val="Hyperlink"/>
              </w:rPr>
              <w:t>ZAKLJUČAK</w:t>
            </w:r>
            <w:r>
              <w:rPr>
                <w:webHidden/>
              </w:rPr>
              <w:tab/>
            </w:r>
            <w:r>
              <w:rPr>
                <w:webHidden/>
              </w:rPr>
              <w:fldChar w:fldCharType="begin"/>
            </w:r>
            <w:r>
              <w:rPr>
                <w:webHidden/>
              </w:rPr>
              <w:instrText xml:space="preserve"> PAGEREF _Toc225421355 \h </w:instrText>
            </w:r>
            <w:r>
              <w:rPr>
                <w:webHidden/>
              </w:rPr>
            </w:r>
            <w:r>
              <w:rPr>
                <w:webHidden/>
              </w:rPr>
              <w:fldChar w:fldCharType="separate"/>
            </w:r>
            <w:r>
              <w:rPr>
                <w:webHidden/>
              </w:rPr>
              <w:t>16</w:t>
            </w:r>
            <w:r>
              <w:rPr>
                <w:webHidden/>
              </w:rPr>
              <w:fldChar w:fldCharType="end"/>
            </w:r>
          </w:hyperlink>
        </w:p>
        <w:p w14:paraId="5F95A70A" w14:textId="77777777" w:rsidR="004B10C7" w:rsidRDefault="004B10C7">
          <w:pPr>
            <w:pStyle w:val="TOC1"/>
            <w:rPr>
              <w:rFonts w:asciiTheme="minorHAnsi" w:eastAsiaTheme="minorEastAsia" w:hAnsiTheme="minorHAnsi" w:cstheme="minorBidi"/>
              <w:b w:val="0"/>
              <w:bCs w:val="0"/>
              <w:caps w:val="0"/>
              <w:color w:val="auto"/>
              <w:sz w:val="22"/>
              <w:szCs w:val="22"/>
              <w:lang w:val="hr-HR" w:eastAsia="hr-HR"/>
            </w:rPr>
          </w:pPr>
          <w:hyperlink w:anchor="_Toc225421356" w:history="1">
            <w:r w:rsidRPr="00EE61A3">
              <w:rPr>
                <w:rStyle w:val="Hyperlink"/>
              </w:rPr>
              <w:t>§ 4.</w:t>
            </w:r>
            <w:r>
              <w:rPr>
                <w:rFonts w:asciiTheme="minorHAnsi" w:eastAsiaTheme="minorEastAsia" w:hAnsiTheme="minorHAnsi" w:cstheme="minorBidi"/>
                <w:b w:val="0"/>
                <w:bCs w:val="0"/>
                <w:caps w:val="0"/>
                <w:color w:val="auto"/>
                <w:sz w:val="22"/>
                <w:szCs w:val="22"/>
                <w:lang w:val="hr-HR" w:eastAsia="hr-HR"/>
              </w:rPr>
              <w:tab/>
            </w:r>
            <w:r w:rsidRPr="00EE61A3">
              <w:rPr>
                <w:rStyle w:val="Hyperlink"/>
              </w:rPr>
              <w:t>LITERATURNI IZVORI</w:t>
            </w:r>
            <w:r>
              <w:rPr>
                <w:webHidden/>
              </w:rPr>
              <w:tab/>
            </w:r>
            <w:r>
              <w:rPr>
                <w:webHidden/>
              </w:rPr>
              <w:fldChar w:fldCharType="begin"/>
            </w:r>
            <w:r>
              <w:rPr>
                <w:webHidden/>
              </w:rPr>
              <w:instrText xml:space="preserve"> PAGEREF _Toc225421356 \h </w:instrText>
            </w:r>
            <w:r>
              <w:rPr>
                <w:webHidden/>
              </w:rPr>
            </w:r>
            <w:r>
              <w:rPr>
                <w:webHidden/>
              </w:rPr>
              <w:fldChar w:fldCharType="separate"/>
            </w:r>
            <w:r>
              <w:rPr>
                <w:webHidden/>
              </w:rPr>
              <w:t>xvii</w:t>
            </w:r>
            <w:r>
              <w:rPr>
                <w:webHidden/>
              </w:rPr>
              <w:fldChar w:fldCharType="end"/>
            </w:r>
          </w:hyperlink>
        </w:p>
        <w:p w14:paraId="5B157B10" w14:textId="2D040581" w:rsidR="00171E1F" w:rsidRDefault="00171E1F">
          <w:r>
            <w:rPr>
              <w:b/>
              <w:bCs/>
              <w:noProof/>
            </w:rPr>
            <w:fldChar w:fldCharType="end"/>
          </w:r>
        </w:p>
      </w:sdtContent>
    </w:sdt>
    <w:p w14:paraId="757F79A3" w14:textId="4D03C0A2" w:rsidR="00424536" w:rsidRPr="00A907CF" w:rsidRDefault="00424536" w:rsidP="00D7721A">
      <w:pPr>
        <w:pStyle w:val="OCJENSKIRADOVIFontParagraph"/>
        <w:tabs>
          <w:tab w:val="left" w:pos="567"/>
          <w:tab w:val="right" w:leader="dot" w:pos="9072"/>
        </w:tabs>
        <w:spacing w:before="120"/>
        <w:outlineLvl w:val="0"/>
        <w:rPr>
          <w:rStyle w:val="OCJENSKIRADOVIFontCharacter"/>
          <w:b/>
          <w:bCs/>
          <w:caps/>
          <w:noProof/>
          <w:color w:val="003399"/>
          <w:lang w:val="en-US"/>
        </w:rPr>
      </w:pPr>
    </w:p>
    <w:p w14:paraId="2AA4B0BD" w14:textId="77777777" w:rsidR="00424536" w:rsidRPr="00A44071" w:rsidRDefault="00424536" w:rsidP="0055198C">
      <w:pPr>
        <w:pStyle w:val="OCJENSKIRADOVIFontParagraph"/>
        <w:rPr>
          <w:noProof/>
        </w:rPr>
      </w:pPr>
    </w:p>
    <w:p w14:paraId="0B1D1A7B" w14:textId="6C4EDC14" w:rsidR="00424536" w:rsidRDefault="007C3D4D" w:rsidP="003C13A3">
      <w:pPr>
        <w:rPr>
          <w:noProof/>
          <w:lang w:val="hr-HR"/>
        </w:rPr>
      </w:pP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p>
    <w:p w14:paraId="6281439F" w14:textId="77777777" w:rsidR="007C3D4D" w:rsidRDefault="007C3D4D" w:rsidP="003C13A3">
      <w:pPr>
        <w:rPr>
          <w:noProof/>
          <w:lang w:val="hr-HR"/>
        </w:rPr>
      </w:pPr>
    </w:p>
    <w:p w14:paraId="768D8FA9" w14:textId="372EB9FE" w:rsidR="00424536" w:rsidRPr="00A44071" w:rsidRDefault="007C3D4D" w:rsidP="00DB680C">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r>
        <w:rPr>
          <w:noProof/>
          <w:lang w:val="hr-HR"/>
        </w:rPr>
        <w:tab/>
      </w:r>
    </w:p>
    <w:p w14:paraId="6989081F" w14:textId="77777777" w:rsidR="00424536" w:rsidRPr="00A44071" w:rsidRDefault="00424536" w:rsidP="001A2EF8">
      <w:pPr>
        <w:pStyle w:val="OCJENSKIRADOVIFontParagraph"/>
      </w:pPr>
    </w:p>
    <w:p w14:paraId="34FFF0C5" w14:textId="77777777" w:rsidR="00424536" w:rsidRPr="00A44071" w:rsidRDefault="00424536" w:rsidP="005F494D">
      <w:pPr>
        <w:pStyle w:val="OCJENSKIRADOVIOdlomak3NASTAVAKODLOMKA"/>
        <w:jc w:val="left"/>
        <w:sectPr w:rsidR="00424536" w:rsidRPr="00A44071" w:rsidSect="00CF6BB4">
          <w:headerReference w:type="default" r:id="rId12"/>
          <w:footerReference w:type="default" r:id="rId13"/>
          <w:pgSz w:w="11907" w:h="16840" w:code="9"/>
          <w:pgMar w:top="1701" w:right="1418" w:bottom="1701" w:left="1418" w:header="1134" w:footer="1134" w:gutter="0"/>
          <w:pgNumType w:fmt="lowerRoman"/>
          <w:cols w:space="708"/>
          <w:docGrid w:linePitch="360"/>
        </w:sectPr>
      </w:pPr>
    </w:p>
    <w:p w14:paraId="59C48BCF" w14:textId="2DEDF5FE" w:rsidR="00424536" w:rsidRDefault="00424536" w:rsidP="0044240A">
      <w:pPr>
        <w:pStyle w:val="OCJENSKIRADOVI1Naslovpoglavlja"/>
      </w:pPr>
      <w:bookmarkStart w:id="1" w:name="_Toc256085210"/>
      <w:bookmarkStart w:id="2" w:name="_Toc355955749"/>
      <w:bookmarkStart w:id="3" w:name="_Toc225421344"/>
      <w:r w:rsidRPr="00B55905">
        <w:lastRenderedPageBreak/>
        <w:t>UVOD</w:t>
      </w:r>
      <w:bookmarkEnd w:id="1"/>
      <w:bookmarkEnd w:id="2"/>
      <w:bookmarkEnd w:id="3"/>
    </w:p>
    <w:p w14:paraId="34FEAF80" w14:textId="7C1AD1D4" w:rsidR="00AA25F0" w:rsidRDefault="00AA25F0" w:rsidP="000610BC">
      <w:pPr>
        <w:pStyle w:val="OCJENSKIRADOVI2Podnaslovpoglavlja"/>
        <w:spacing w:line="360" w:lineRule="auto"/>
        <w:rPr>
          <w:lang w:val="en-US"/>
        </w:rPr>
      </w:pPr>
      <w:bookmarkStart w:id="4" w:name="_Toc225421345"/>
      <w:r>
        <w:rPr>
          <w:lang w:val="en-US"/>
        </w:rPr>
        <w:t>Fluorescentne probe</w:t>
      </w:r>
      <w:bookmarkEnd w:id="4"/>
    </w:p>
    <w:p w14:paraId="4A8D7020" w14:textId="77777777" w:rsidR="00AA25F0" w:rsidRDefault="00AA25F0" w:rsidP="000610BC">
      <w:pPr>
        <w:pStyle w:val="OCJENSKIRADOVI3Podpodnaslovpoglavlja"/>
        <w:outlineLvl w:val="2"/>
        <w:rPr>
          <w:lang w:val="en-US"/>
        </w:rPr>
      </w:pPr>
      <w:bookmarkStart w:id="5" w:name="_Toc225421346"/>
      <w:r>
        <w:rPr>
          <w:lang w:val="en-US"/>
        </w:rPr>
        <w:t>Cijaninske boje</w:t>
      </w:r>
      <w:bookmarkEnd w:id="5"/>
    </w:p>
    <w:p w14:paraId="0DFB5EED" w14:textId="000A2A6C" w:rsidR="00DD53C7" w:rsidRDefault="00DD53C7" w:rsidP="00DD53C7">
      <w:pPr>
        <w:pStyle w:val="NormalWeb"/>
        <w:spacing w:line="360" w:lineRule="auto"/>
        <w:jc w:val="both"/>
      </w:pPr>
      <w:r>
        <w:t>Mnoge male organske molekule djeluju kao nekovalentne fluorescentne probe za prepoznavanje polinukleotida i imaju važnu ulogu u biomedicinskoj dijagnostici i istraživanjima molekularne biologije.</w:t>
      </w:r>
      <w:r w:rsidR="007A73F6">
        <w:fldChar w:fldCharType="begin" w:fldLock="1"/>
      </w:r>
      <w:r w:rsidR="007A73F6">
        <w:instrText>ADDIN CSL_CITATION {"citationItems":[{"id":"ITEM-1","itemData":{"DOI":"10.1007/s00216-022-03995-8","ISBN":"0123456789","ISSN":"16182650","PMID":"35359180","abstract":"As a functional dye, cyanine dye promotes the widespread application of bioprobes in the fields of medicine, genetics and environment, owing to its advantages of good photophysical properties, excellent biocompatibility and low toxicity to biological systems. Nowadays, it is mainly used in the fields of life sciences such as fluorescent labeling of biological macromolecules, disease diagnosis, immunoassay and DNA detection, all of which lie at the core of this review. First, we briefly introduced the characteristics and principles of the cyanine dye bioprobe. Afterward, we paid attention to the recent progress of cyanine dye bioprobes widely used in the 10 years from 2010 to 2020. The application of cyanine dyes as bioprobes with different identification elements, including enzymes, organelles, immunity and DNAs, was mainly summarized. Finally, this review gave an outlook on the future development trend of cyanine dye bioprobes. This facilitates the construction of a new type of multifunctional fluorescent probe and promotes its clinical application.","author":[{"dropping-particle":"","family":"Ma","given":"Xiaoying","non-dropping-particle":"","parse-names":false,"suffix":""},{"dropping-particle":"","family":"Shi","given":"Lei","non-dropping-particle":"","parse-names":false,"suffix":""},{"dropping-particle":"","family":"Zhang","given":"Buyue","non-dropping-particle":"","parse-names":false,"suffix":""},{"dropping-particle":"","family":"Liu","given":"Lu","non-dropping-particle":"","parse-names":false,"suffix":""},{"dropping-particle":"","family":"Fu","given":"Yao","non-dropping-particle":"","parse-names":false,"suffix":""},{"dropping-particle":"","family":"Zhang","given":"Xiufeng","non-dropping-particle":"","parse-names":false,"suffix":""}],"container-title":"Analytical and Bioanalytical Chemistry","id":"ITEM-1","issue":"16","issued":{"date-parts":[["2022"]]},"page":"4551-4573","publisher":"Springer Berlin Heidelberg","title":"Recent advances in bioprobes and biolabels based on cyanine dyes","type":"article-journal","volume":"414"},"uris":["http://www.mendeley.com/documents/?uuid=91b08ac2-9fad-465e-8cc2-1a00e8515de9"]}],"mendeley":{"formattedCitation":"&lt;sup&gt;1&lt;/sup&gt;","plainTextFormattedCitation":"1","previouslyFormattedCitation":"&lt;sup&gt;1&lt;/sup&gt;"},"properties":{"noteIndex":0},"schema":"https://github.com/citation-style-language/schema/raw/master/csl-citation.json"}</w:instrText>
      </w:r>
      <w:r w:rsidR="007A73F6">
        <w:fldChar w:fldCharType="separate"/>
      </w:r>
      <w:r w:rsidR="007A73F6" w:rsidRPr="007A73F6">
        <w:rPr>
          <w:noProof/>
          <w:vertAlign w:val="superscript"/>
        </w:rPr>
        <w:t>1</w:t>
      </w:r>
      <w:r w:rsidR="007A73F6">
        <w:fldChar w:fldCharType="end"/>
      </w:r>
      <w:r>
        <w:t xml:space="preserve"> Razvojem tehnika koje se temelje na detekciji bioloških struktura pomoću fluorescencije pojavila se potreba za razvojem novih fluorescentnih i fluorogenih biomolekulskih proba. Fluorogene molekule su kemijski spojevi koji pokazuju fluorescenciju tek nakon interakcije sa specifičnom molekulom ili biomolekulom.</w:t>
      </w:r>
      <w:r w:rsidR="007A73F6">
        <w:fldChar w:fldCharType="begin" w:fldLock="1"/>
      </w:r>
      <w:r w:rsidR="007A73F6">
        <w:instrText>ADDIN CSL_CITATION {"citationItems":[{"id":"ITEM-1","itemData":{"DOI":"10.3390/bios15030187","ISSN":"20796374","PMID":"40136984","abstract":"Two new asymmetric monomethine cyanine dyes, featuring dimethoxy quinolinium or methyl quinolinium end groups and benzothiazole or methyl benzothiazole end groups were synthesized. The chemical structures of the two dyes—(E)-6,7-dimethoxy-1-methyl-4-((3-methylbenzo[d]thiazol-2(3H)-ylidene)methyl)quinolin-1-ium iodide (3a) and (E)-4-((3,5-dimethylbenzo[d]thiazol-2(3H)-ylidene)methyl)-1,2-dimethylquinolin-1-ium iodide (3b)—were confirmed through NMR spectroscopy and MALDI-TOF mass spectrometry. A new methodology was developed to study monocationic dyes in the absence of a matrix and cationizing compounds in MALDI-TOF mass experiments. The newly synthesized dyes contain hydrophobic functional groups attached to the chromophore, enhancing their affinity for the hydrophobic regions of nucleic acids within the biological matrix. The dyes’ photophysical properties were investigated in aqueous solutions and DMSO, as well as in the presence of nucleic acids. The dyes exhibit notable aggregachromism in both pure aqueous and buffered solutions. The observed aggregation phenomena were further elucidated using computational methods. Fluorescence titration experiments revealed that upon contact with nucleic acids, the dyes exhibit bioaggregachromism–aggregachromism on the surfaces of the respective biomolecular matrix (RNA or DNA). This bioaggregachromism was further confirmed by CD spectroscopy. Given the pronounced aggregachromism detected, we conclude that the dyes investigated in this study are highly suitable for use as fluorogenic probes in biomolecular recognition techniques. The unique absorption and fluorescence spectra of these dyes make them promising fluorogenic markers for various bioanalytical methods related to biomolecular recognition.","author":[{"dropping-particle":"","family":"Ilieva","given":"Sonia","non-dropping-particle":"","parse-names":false,"suffix":""},{"dropping-particle":"","family":"Petkov","given":"Nikolay","non-dropping-particle":"","parse-names":false,"suffix":""},{"dropping-particle":"","family":"Gargallo","given":"Raimundo","non-dropping-particle":"","parse-names":false,"suffix":""},{"dropping-particle":"","family":"Novakov","given":"Christo","non-dropping-particle":"","parse-names":false,"suffix":""},{"dropping-particle":"","family":"Rangelov","given":"Miroslav","non-dropping-particle":"","parse-names":false,"suffix":""},{"dropping-particle":"","family":"Todorova","given":"Nadezhda","non-dropping-particle":"","parse-names":false,"suffix":""},{"dropping-particle":"","family":"Vasilev","given":"Aleksey","non-dropping-particle":"","parse-names":false,"suffix":""},{"dropping-particle":"","family":"Cheshmedzhieva","given":"Diana","non-dropping-particle":"","parse-names":false,"suffix":""}],"container-title":"Biosensors","id":"ITEM-1","issue":"3","issued":{"date-parts":[["2025"]]},"title":"Bioaggregachromism of Asymmetric Monomethine Cyanine Dyes as Noncovalent Binders for Nucleic Acids","type":"article-journal","volume":"15"},"uris":["http://www.mendeley.com/documents/?uuid=cd109dd0-83cb-4eca-b3d1-2e4dcab7bfb9"]}],"mendeley":{"formattedCitation":"&lt;sup&gt;2&lt;/sup&gt;","plainTextFormattedCitation":"2","previouslyFormattedCitation":"&lt;sup&gt;2&lt;/sup&gt;"},"properties":{"noteIndex":0},"schema":"https://github.com/citation-style-language/schema/raw/master/csl-citation.json"}</w:instrText>
      </w:r>
      <w:r w:rsidR="007A73F6">
        <w:fldChar w:fldCharType="separate"/>
      </w:r>
      <w:r w:rsidR="007A73F6" w:rsidRPr="007A73F6">
        <w:rPr>
          <w:noProof/>
          <w:vertAlign w:val="superscript"/>
        </w:rPr>
        <w:t>2</w:t>
      </w:r>
      <w:r w:rsidR="007A73F6">
        <w:fldChar w:fldCharType="end"/>
      </w:r>
      <w:r w:rsidR="007A73F6" w:rsidRPr="007A73F6">
        <w:rPr>
          <w:vertAlign w:val="superscript"/>
        </w:rPr>
        <w:t>,</w:t>
      </w:r>
      <w:r w:rsidR="007A73F6">
        <w:fldChar w:fldCharType="begin" w:fldLock="1"/>
      </w:r>
      <w:r w:rsidR="007A73F6">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7A73F6">
        <w:fldChar w:fldCharType="separate"/>
      </w:r>
      <w:r w:rsidR="007A73F6" w:rsidRPr="007A73F6">
        <w:rPr>
          <w:noProof/>
          <w:vertAlign w:val="superscript"/>
        </w:rPr>
        <w:t>3</w:t>
      </w:r>
      <w:r w:rsidR="007A73F6">
        <w:fldChar w:fldCharType="end"/>
      </w:r>
    </w:p>
    <w:p w14:paraId="66BD1BFF" w14:textId="6007C3D1" w:rsidR="00DD53C7" w:rsidRDefault="00DD53C7" w:rsidP="00DD53C7">
      <w:pPr>
        <w:pStyle w:val="NormalWeb"/>
        <w:spacing w:line="360" w:lineRule="auto"/>
        <w:ind w:firstLine="720"/>
        <w:jc w:val="both"/>
      </w:pPr>
      <w:r>
        <w:t>Cijaninske boje imaju široku primjenu kao senzibilizatori u fotografiji u boji, ali i kao osjetljive fluorescentne probe koje omogućuju praćenje lokalnih svojstava okoliša, poput viskoznosti ili polariteta. Zbog niske toksičnosti i dobrih fotofizikalnih svojstava često se koriste kao dijagnostički alati za istraživanje mehanizama djelovanja bioaktivnih molekula i potencijalnih lijekova.</w:t>
      </w:r>
      <w:r w:rsidR="007A73F6">
        <w:fldChar w:fldCharType="begin" w:fldLock="1"/>
      </w:r>
      <w:r w:rsidR="007A73F6">
        <w:instrText>ADDIN CSL_CITATION {"citationItems":[{"id":"ITEM-1","itemData":{"DOI":"10.1039/d3cs00585b","ISSN":"14604744","PMID":"39576179","abstract":"Cyanine dyes have been widely used in phototherapy in recent years due to their excellent optical properties and diverse modifiable structures. This review provides detailed descriptions of the basic structures of various cyanines and their derivatives as well as their optical properties. It summarizes the strategies for constructing cyanine dyes for phototherapy and discusses their structure-effect relationship. Furthermore, a comprehensive classification and summary of the applications of cyanine dyes in phototherapy are presented. Importantly, this review also addresses both the advances made in this field as well as the challenges that need to be overcome. We hope that these profound insights into phototherapy using cyanine dyes will facilitate the design of future systems for clinical applications based on these compounds.","author":[{"dropping-particle":"","family":"Yuan","given":"Jie","non-dropping-particle":"","parse-names":false,"suffix":""},{"dropping-particle":"","family":"Yang","given":"Hanxue","non-dropping-particle":"","parse-names":false,"suffix":""},{"dropping-particle":"","family":"Huang","given":"Wenhui","non-dropping-particle":"","parse-names":false,"suffix":""},{"dropping-particle":"","family":"Liu","given":"Shilong","non-dropping-particle":"","parse-names":false,"suffix":""},{"dropping-particle":"","family":"Zhang","given":"Hua","non-dropping-particle":"","parse-names":false,"suffix":""},{"dropping-particle":"","family":"Zhang","given":"Xiaobing","non-dropping-particle":"","parse-names":false,"suffix":""},{"dropping-particle":"","family":"Peng","given":"Xiaojun","non-dropping-particle":"","parse-names":false,"suffix":""}],"container-title":"Chemical Society Reviews","id":"ITEM-1","issue":"1","issued":{"date-parts":[["2024"]]},"page":"341-366","publisher":"Royal Society of Chemistry","title":"Design strategies and applications of cyanine dyes in phototherapy","type":"article-journal","volume":"54"},"uris":["http://www.mendeley.com/documents/?uuid=97bc2242-f129-4dfd-bf24-054b3514b651"]}],"mendeley":{"formattedCitation":"&lt;sup&gt;4&lt;/sup&gt;","plainTextFormattedCitation":"4","previouslyFormattedCitation":"&lt;sup&gt;4&lt;/sup&gt;"},"properties":{"noteIndex":0},"schema":"https://github.com/citation-style-language/schema/raw/master/csl-citation.json"}</w:instrText>
      </w:r>
      <w:r w:rsidR="007A73F6">
        <w:fldChar w:fldCharType="separate"/>
      </w:r>
      <w:r w:rsidR="007A73F6" w:rsidRPr="007A73F6">
        <w:rPr>
          <w:noProof/>
          <w:vertAlign w:val="superscript"/>
        </w:rPr>
        <w:t>4</w:t>
      </w:r>
      <w:r w:rsidR="007A73F6">
        <w:fldChar w:fldCharType="end"/>
      </w:r>
      <w:r>
        <w:t xml:space="preserve"> Razvijene su brojne sintetske metode koje omogućuju pripravu cijaninskih boja s apsorpcijskim i emisijskim spektrima u području od približno 400 do 1000 nm. Također je moguće dobiti spojeve topljive u različitim organskim i vodenim otapalima te ugraditi reaktivne funkcionalne skupine koje omogućuju njihovo kovalentno povezivanje s drugim molekulama.</w:t>
      </w:r>
      <w:r w:rsidR="007A73F6">
        <w:fldChar w:fldCharType="begin" w:fldLock="1"/>
      </w:r>
      <w:r w:rsidR="007A73F6">
        <w:instrText>ADDIN CSL_CITATION {"citationItems":[{"id":"ITEM-1","itemData":{"DOI":"10.1007/s00216-022-03995-8","ISBN":"0123456789","ISSN":"16182650","PMID":"35359180","abstract":"As a functional dye, cyanine dye promotes the widespread application of bioprobes in the fields of medicine, genetics and environment, owing to its advantages of good photophysical properties, excellent biocompatibility and low toxicity to biological systems. Nowadays, it is mainly used in the fields of life sciences such as fluorescent labeling of biological macromolecules, disease diagnosis, immunoassay and DNA detection, all of which lie at the core of this review. First, we briefly introduced the characteristics and principles of the cyanine dye bioprobe. Afterward, we paid attention to the recent progress of cyanine dye bioprobes widely used in the 10 years from 2010 to 2020. The application of cyanine dyes as bioprobes with different identification elements, including enzymes, organelles, immunity and DNAs, was mainly summarized. Finally, this review gave an outlook on the future development trend of cyanine dye bioprobes. This facilitates the construction of a new type of multifunctional fluorescent probe and promotes its clinical application.","author":[{"dropping-particle":"","family":"Ma","given":"Xiaoying","non-dropping-particle":"","parse-names":false,"suffix":""},{"dropping-particle":"","family":"Shi","given":"Lei","non-dropping-particle":"","parse-names":false,"suffix":""},{"dropping-particle":"","family":"Zhang","given":"Buyue","non-dropping-particle":"","parse-names":false,"suffix":""},{"dropping-particle":"","family":"Liu","given":"Lu","non-dropping-particle":"","parse-names":false,"suffix":""},{"dropping-particle":"","family":"Fu","given":"Yao","non-dropping-particle":"","parse-names":false,"suffix":""},{"dropping-particle":"","family":"Zhang","given":"Xiufeng","non-dropping-particle":"","parse-names":false,"suffix":""}],"container-title":"Analytical and Bioanalytical Chemistry","id":"ITEM-1","issue":"16","issued":{"date-parts":[["2022"]]},"page":"4551-4573","publisher":"Springer Berlin Heidelberg","title":"Recent advances in bioprobes and biolabels based on cyanine dyes","type":"article-journal","volume":"414"},"uris":["http://www.mendeley.com/documents/?uuid=91b08ac2-9fad-465e-8cc2-1a00e8515de9"]}],"mendeley":{"formattedCitation":"&lt;sup&gt;1&lt;/sup&gt;","plainTextFormattedCitation":"1","previouslyFormattedCitation":"&lt;sup&gt;1&lt;/sup&gt;"},"properties":{"noteIndex":0},"schema":"https://github.com/citation-style-language/schema/raw/master/csl-citation.json"}</w:instrText>
      </w:r>
      <w:r w:rsidR="007A73F6">
        <w:fldChar w:fldCharType="separate"/>
      </w:r>
      <w:r w:rsidR="007A73F6" w:rsidRPr="007A73F6">
        <w:rPr>
          <w:noProof/>
          <w:vertAlign w:val="superscript"/>
        </w:rPr>
        <w:t>1</w:t>
      </w:r>
      <w:r w:rsidR="007A73F6">
        <w:fldChar w:fldCharType="end"/>
      </w:r>
    </w:p>
    <w:p w14:paraId="702B1E2F" w14:textId="0D3AC33F" w:rsidR="00DD53C7" w:rsidRDefault="00DD53C7" w:rsidP="00DD53C7">
      <w:pPr>
        <w:pStyle w:val="NormalWeb"/>
        <w:spacing w:line="360" w:lineRule="auto"/>
        <w:ind w:firstLine="720"/>
        <w:jc w:val="both"/>
      </w:pPr>
      <w:r>
        <w:t>U otopini cijaninske boje pokazuju vrlo slabu ili zanemarivu intrinzičnu fluorescenciju. Međutim, nakon vezanja na biomolekulu dolazi do povećanja rigidnosti njihove kemijske strukture, čime se smanjuju neradijativni procesi relaksacije pobuđenog stanja. Posljedica toga je značajno povećanje intenziteta fluorescencije.</w:t>
      </w:r>
      <w:r w:rsidR="007A73F6">
        <w:fldChar w:fldCharType="begin" w:fldLock="1"/>
      </w:r>
      <w:r w:rsidR="007A73F6">
        <w:instrText>ADDIN CSL_CITATION {"citationItems":[{"id":"ITEM-1","itemData":{"DOI":"10.3390/bios15030187","ISSN":"20796374","PMID":"40136984","abstract":"Two new asymmetric monomethine cyanine dyes, featuring dimethoxy quinolinium or methyl quinolinium end groups and benzothiazole or methyl benzothiazole end groups were synthesized. The chemical structures of the two dyes—(E)-6,7-dimethoxy-1-methyl-4-((3-methylbenzo[d]thiazol-2(3H)-ylidene)methyl)quinolin-1-ium iodide (3a) and (E)-4-((3,5-dimethylbenzo[d]thiazol-2(3H)-ylidene)methyl)-1,2-dimethylquinolin-1-ium iodide (3b)—were confirmed through NMR spectroscopy and MALDI-TOF mass spectrometry. A new methodology was developed to study monocationic dyes in the absence of a matrix and cationizing compounds in MALDI-TOF mass experiments. The newly synthesized dyes contain hydrophobic functional groups attached to the chromophore, enhancing their affinity for the hydrophobic regions of nucleic acids within the biological matrix. The dyes’ photophysical properties were investigated in aqueous solutions and DMSO, as well as in the presence of nucleic acids. The dyes exhibit notable aggregachromism in both pure aqueous and buffered solutions. The observed aggregation phenomena were further elucidated using computational methods. Fluorescence titration experiments revealed that upon contact with nucleic acids, the dyes exhibit bioaggregachromism–aggregachromism on the surfaces of the respective biomolecular matrix (RNA or DNA). This bioaggregachromism was further confirmed by CD spectroscopy. Given the pronounced aggregachromism detected, we conclude that the dyes investigated in this study are highly suitable for use as fluorogenic probes in biomolecular recognition techniques. The unique absorption and fluorescence spectra of these dyes make them promising fluorogenic markers for various bioanalytical methods related to biomolecular recognition.","author":[{"dropping-particle":"","family":"Ilieva","given":"Sonia","non-dropping-particle":"","parse-names":false,"suffix":""},{"dropping-particle":"","family":"Petkov","given":"Nikolay","non-dropping-particle":"","parse-names":false,"suffix":""},{"dropping-particle":"","family":"Gargallo","given":"Raimundo","non-dropping-particle":"","parse-names":false,"suffix":""},{"dropping-particle":"","family":"Novakov","given":"Christo","non-dropping-particle":"","parse-names":false,"suffix":""},{"dropping-particle":"","family":"Rangelov","given":"Miroslav","non-dropping-particle":"","parse-names":false,"suffix":""},{"dropping-particle":"","family":"Todorova","given":"Nadezhda","non-dropping-particle":"","parse-names":false,"suffix":""},{"dropping-particle":"","family":"Vasilev","given":"Aleksey","non-dropping-particle":"","parse-names":false,"suffix":""},{"dropping-particle":"","family":"Cheshmedzhieva","given":"Diana","non-dropping-particle":"","parse-names":false,"suffix":""}],"container-title":"Biosensors","id":"ITEM-1","issue":"3","issued":{"date-parts":[["2025"]]},"title":"Bioaggregachromism of Asymmetric Monomethine Cyanine Dyes as Noncovalent Binders for Nucleic Acids","type":"article-journal","volume":"15"},"uris":["http://www.mendeley.com/documents/?uuid=cd109dd0-83cb-4eca-b3d1-2e4dcab7bfb9"]},{"id":"ITEM-2","itemData":{"DOI":"10.3390/molecules27196367","ISSN":"14203049","PMID":"36234904","abstract":"Cyanine dyes are widely used as fluorescent probes in biophysics and medical biochemistry due to their unique photophysical and photochemical properties (their photonics). This review is focused on a subclass of the most widespread and studied cyanine dyes—trimethine cyanines, which can serve as potential probes for biomolecules. The works devoted to the study of the noncovalent interaction of trimethine cyanine dyes with biomolecules and changing the properties of these dyes upon the interaction are reviewed. In addition to the spectral-fluorescent properties, elementary photochemical properties of trimethine cyanines are considered, including: photoisomerization and back isomerization of the photoisomer, generation and decay of the triplet state, and its quenching by oxygen and other quenchers. The influence of DNA and other nucleic acids, proteins, and other biomolecules on these properties is covered. The interaction of a monomer dye molecule with a biomolecule usually leads to a fluorescence growth, damping of photoisomerization (if any), and an increase in intersystem crossing to the triplet state. Sometimes aggregation of dye molecules on biomolecules is observed. Quenching of the dye triplet state in a complex with biomolecules by molecular oxygen usually occurs with a rate constant much lower than the diffusion limit with allowance for the spin-statistical factor 1/9. The practical application of trimethine cyanines in biophysics and (medical) biochemistry is also considered. In conclusion, the prospects for further studies on the cyanine dye–biomolecule system and the development of new effective dye probes (including probes of a new type) for biomolecules are discussed.","author":[{"dropping-particle":"","family":"Pronkin","given":"Pavel G.","non-dropping-particle":"","parse-names":false,"suffix":""},{"dropping-particle":"","family":"Tatikolov","given":"Alexander S.","non-dropping-particle":"","parse-names":false,"suffix":""}],"container-title":"Molecules","id":"ITEM-2","issue":"19","issued":{"date-parts":[["2022"]]},"title":"Photonics of Trimethine Cyanine Dyes as Probes for Biomolecules","type":"article-journal","volume":"27"},"uris":["http://www.mendeley.com/documents/?uuid=7179f092-001b-4110-9f29-8e7b93fd4a4a"]}],"mendeley":{"formattedCitation":"&lt;sup&gt;2,5&lt;/sup&gt;","plainTextFormattedCitation":"2,5","previouslyFormattedCitation":"&lt;sup&gt;2,5&lt;/sup&gt;"},"properties":{"noteIndex":0},"schema":"https://github.com/citation-style-language/schema/raw/master/csl-citation.json"}</w:instrText>
      </w:r>
      <w:r w:rsidR="007A73F6">
        <w:fldChar w:fldCharType="separate"/>
      </w:r>
      <w:r w:rsidR="007A73F6" w:rsidRPr="007A73F6">
        <w:rPr>
          <w:noProof/>
          <w:vertAlign w:val="superscript"/>
        </w:rPr>
        <w:t>2,5</w:t>
      </w:r>
      <w:r w:rsidR="007A73F6">
        <w:fldChar w:fldCharType="end"/>
      </w:r>
      <w:r>
        <w:t xml:space="preserve"> Čak i male promjene u strukturi cijaninskih boja mogu značajno utjecati na njihova fotofizikalna svojstva, što se odražava na jakost vezanja </w:t>
      </w:r>
      <w:r w:rsidR="00876AB8">
        <w:t xml:space="preserve">na </w:t>
      </w:r>
      <w:r>
        <w:t>polinukleotide, spektroskopski odgovor te biološki afinitet. Strukturu cijaninskih spojeva karakterizira polimetinski most koji povezuje dva terminalna dušikova atoma.</w:t>
      </w:r>
      <w:r w:rsidR="007A73F6">
        <w:fldChar w:fldCharType="begin" w:fldLock="1"/>
      </w:r>
      <w:r w:rsidR="007A73F6">
        <w:instrText>ADDIN CSL_CITATION {"citationItems":[{"id":"ITEM-1","itemData":{"DOI":"10.1007/b100442","ISBN":"3540228357","ISSN":"03401022","abstract":"The cyanine dyes are among the oldest classes of synthetic compounds but continue to find applications in a variety of fields. In many cases, the dyes act as fluorescent labels for biomolecules, and can interact with the biomolecule either through covalent or noncovalent bonding. One particularly important application involves dyes that bind to double helical DNA by intercalation and exhibit large fluorescence enhancements upon binding. This chapter describes recent investigations of the noncovalent binding modes by which cyanine dyes recognize DNA, with special emphasis placed on relationships between the dye structure and DNA binding mode. In addition to simple binding of the dye as a monomer, several dyes form well-defined helical aggregates using DNA as a template. While these dyes are typically achiral, the aggregates exhibit induced chirality due to the right-handed helical structure of the underlying DNA template. Spectroscopic methods for characterizing these supramolecular assemblies as well as the monomeric complexes are described. © Springer-Verlag Berlin Heidelberg 2005.","author":[{"dropping-particle":"","family":"Armitage","given":"Bruce A.","non-dropping-particle":"","parse-names":false,"suffix":""}],"container-title":"Topics in Current Chemistry","id":"ITEM-1","issued":{"date-parts":[["2005"]]},"page":"55-76","title":"Cyanine dye-DNA interactions: Intercalation, groove binding, and aggregation","type":"article-journal","volume":"253"},"uris":["http://www.mendeley.com/documents/?uuid=a32c8938-9097-41d0-8356-676f5219ed73"]}],"mendeley":{"formattedCitation":"&lt;sup&gt;6&lt;/sup&gt;","plainTextFormattedCitation":"6","previouslyFormattedCitation":"&lt;sup&gt;6&lt;/sup&gt;"},"properties":{"noteIndex":0},"schema":"https://github.com/citation-style-language/schema/raw/master/csl-citation.json"}</w:instrText>
      </w:r>
      <w:r w:rsidR="007A73F6">
        <w:fldChar w:fldCharType="separate"/>
      </w:r>
      <w:r w:rsidR="007A73F6" w:rsidRPr="007A73F6">
        <w:rPr>
          <w:noProof/>
          <w:vertAlign w:val="superscript"/>
        </w:rPr>
        <w:t>6</w:t>
      </w:r>
      <w:r w:rsidR="007A73F6">
        <w:fldChar w:fldCharType="end"/>
      </w:r>
      <w:r>
        <w:t xml:space="preserve"> Taj most sadrži neparan broj ugljikovih atoma, što omogućuje rezonantnu delokalizaciju pozitivnog naboja preko oba dušikova atoma. Naziv pojedine skupine cijaninskih boja ovisi o broju metinskih </w:t>
      </w:r>
      <w:r>
        <w:lastRenderedPageBreak/>
        <w:t>skupina (=CH–) u polimetinskom mostu, pa se razlikuju cijanini (n = 0), karbocijanini (n = 1), dikarbocijanini (n = 2) i trikarbocijanini (n = 3).</w:t>
      </w:r>
    </w:p>
    <w:p w14:paraId="29902083" w14:textId="131F27AF" w:rsidR="00D5304E" w:rsidRDefault="00DD53C7" w:rsidP="00DD53C7">
      <w:pPr>
        <w:pStyle w:val="NormalWeb"/>
        <w:spacing w:line="360" w:lineRule="auto"/>
        <w:jc w:val="both"/>
      </w:pPr>
      <w:r>
        <w:t>S obzirom na heterocikličke prstenove vezane na dušikove atome, cijaninske boje mogu biti simetrične ili asimetrične. Dušikovi atomi najčešće su dio heterocikličkih aromatskih prstenova koji su N-alkilirani. Najčešće korišteni heterocikli u strukturi cijaninskih boja su indol, kinolin, benzoksazol i benzotiazol. Ako se boja sastoji od dvaju identičnih heterocikličkih prstenova povezanih na istom položaju, riječ je o simetričnoj boji, dok nesimetrične boje mogu sadržavati dva različita heterocikla ili dva identična heterocikla povezana na različitim položajima. Na slici 1 prikazana je strukturna formula simetrične i nesimetrične cijaninske boje.</w:t>
      </w:r>
      <w:r w:rsidR="007A73F6">
        <w:fldChar w:fldCharType="begin" w:fldLock="1"/>
      </w:r>
      <w:r w:rsidR="00DB7ADB">
        <w:instrText>ADDIN CSL_CITATION {"citationItems":[{"id":"ITEM-1","itemData":{"DOI":"10.1039/d3nj05400d","ISSN":"13699261","abstract":"Three novel monomethine cyanine dyes were synthesized carrying electron donating groups to obtain even brighter nucleic acids probes. Photophysical properties of these dyes were evaluated with DNA and selected dyes with RNA. A great variation in brightness and binding properties of the dyes was observed. Moreover the X-ray crystal structures are presented for two dyes.","author":[{"dropping-particle":"","family":"Alaranta","given":"Johanna M.","non-dropping-particle":"","parse-names":false,"suffix":""},{"dropping-particle":"","family":"Valkonen","given":"Arto M.","non-dropping-particle":"","parse-names":false,"suffix":""},{"dropping-particle":"","family":"Shroff","given":"Sailee S.","non-dropping-particle":"","parse-names":false,"suffix":""},{"dropping-particle":"","family":"Marjomäki","given":"Varpu S.","non-dropping-particle":"","parse-names":false,"suffix":""},{"dropping-particle":"","family":"Rissanen","given":"Kari","non-dropping-particle":"","parse-names":false,"suffix":""},{"dropping-particle":"","family":"Lahtinen","given":"Tanja M.","non-dropping-particle":"","parse-names":false,"suffix":""}],"container-title":"New Journal of Chemistry","id":"ITEM-1","issue":"11","issued":{"date-parts":[["2024"]]},"page":"4931-4935","title":"Modifying the terminal phenyl group of monomethine cyanine dyes as a pathway to brighter nucleic acid probes","type":"article-journal","volume":"48"},"uris":["http://www.mendeley.com/documents/?uuid=9306c398-541b-4500-b31c-994f0031d43e"]}],"mendeley":{"formattedCitation":"&lt;sup&gt;7&lt;/sup&gt;","plainTextFormattedCitation":"7","previouslyFormattedCitation":"&lt;sup&gt;7&lt;/sup&gt;"},"properties":{"noteIndex":0},"schema":"https://github.com/citation-style-language/schema/raw/master/csl-citation.json"}</w:instrText>
      </w:r>
      <w:r w:rsidR="007A73F6">
        <w:fldChar w:fldCharType="separate"/>
      </w:r>
      <w:r w:rsidR="007A73F6" w:rsidRPr="007A73F6">
        <w:rPr>
          <w:noProof/>
          <w:vertAlign w:val="superscript"/>
        </w:rPr>
        <w:t>7</w:t>
      </w:r>
      <w:r w:rsidR="007A73F6">
        <w:fldChar w:fldCharType="end"/>
      </w:r>
    </w:p>
    <w:p w14:paraId="50DBB87D" w14:textId="0CB1FC52" w:rsidR="00A96327" w:rsidRDefault="00D5304E" w:rsidP="00D5304E">
      <w:pPr>
        <w:spacing w:line="360" w:lineRule="auto"/>
        <w:ind w:firstLine="680"/>
        <w:jc w:val="center"/>
      </w:pPr>
      <w:r>
        <w:object w:dxaOrig="6533" w:dyaOrig="5244" w14:anchorId="5D337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237pt" o:ole="">
            <v:imagedata r:id="rId14" o:title=""/>
          </v:shape>
          <o:OLEObject Type="Embed" ProgID="ChemDraw.Document.6.0" ShapeID="_x0000_i1025" DrawAspect="Content" ObjectID="_1836034093" r:id="rId15"/>
        </w:object>
      </w:r>
    </w:p>
    <w:p w14:paraId="10C1FEEE" w14:textId="77777777" w:rsidR="00A30C5F" w:rsidRDefault="00A30C5F" w:rsidP="00D5304E">
      <w:pPr>
        <w:spacing w:line="360" w:lineRule="auto"/>
        <w:ind w:firstLine="680"/>
        <w:jc w:val="center"/>
      </w:pPr>
    </w:p>
    <w:p w14:paraId="193C17FC" w14:textId="11FB8070" w:rsidR="00D5304E" w:rsidRDefault="00DD53C7" w:rsidP="00D5304E">
      <w:pPr>
        <w:spacing w:line="360" w:lineRule="auto"/>
        <w:ind w:firstLine="680"/>
        <w:jc w:val="center"/>
      </w:pPr>
      <w:r>
        <w:t>Slika 1</w:t>
      </w:r>
      <w:r w:rsidR="00D5304E">
        <w:t xml:space="preserve">. </w:t>
      </w:r>
      <w:r w:rsidR="00D5304E" w:rsidRPr="00D5304E">
        <w:t>Strukturna formula</w:t>
      </w:r>
      <w:r w:rsidR="00D5304E">
        <w:t>: a)</w:t>
      </w:r>
      <w:r w:rsidR="00D5304E" w:rsidRPr="00D5304E">
        <w:t xml:space="preserve"> </w:t>
      </w:r>
      <w:r w:rsidR="007C5444">
        <w:t>s</w:t>
      </w:r>
      <w:r w:rsidR="00D5304E">
        <w:t xml:space="preserve">imetrične i b) </w:t>
      </w:r>
      <w:r w:rsidR="00D5304E" w:rsidRPr="00D5304E">
        <w:t>nesimetrične cijaninske boje</w:t>
      </w:r>
      <w:r w:rsidR="007A73F6">
        <w:t xml:space="preserve"> (preuzeto i prilagođeno iz ref. 6).</w:t>
      </w:r>
    </w:p>
    <w:p w14:paraId="493A16A7" w14:textId="77777777" w:rsidR="00424536" w:rsidRDefault="00424536" w:rsidP="0044240A">
      <w:pPr>
        <w:pStyle w:val="OCJENSKIRADOVIOdlomak3NASTAVAKODLOMKA"/>
      </w:pPr>
    </w:p>
    <w:p w14:paraId="4FB45713" w14:textId="0944AD96" w:rsidR="000610BC" w:rsidRDefault="000610BC" w:rsidP="000610BC">
      <w:pPr>
        <w:pStyle w:val="OCJENSKIRADOVI3Podpodnaslovpoglavlja"/>
        <w:outlineLvl w:val="2"/>
        <w:rPr>
          <w:lang w:val="en-US"/>
        </w:rPr>
      </w:pPr>
      <w:bookmarkStart w:id="6" w:name="_Toc225421347"/>
      <w:r>
        <w:rPr>
          <w:lang w:val="en-US"/>
        </w:rPr>
        <w:t>Interakcija cijanina s polinukleotidima</w:t>
      </w:r>
      <w:bookmarkEnd w:id="6"/>
    </w:p>
    <w:p w14:paraId="27EB6D03" w14:textId="410BFC9F" w:rsidR="00DD53C7" w:rsidRDefault="00DD53C7" w:rsidP="003505B1">
      <w:pPr>
        <w:pStyle w:val="NormalWeb"/>
        <w:spacing w:line="360" w:lineRule="auto"/>
        <w:jc w:val="both"/>
      </w:pPr>
      <w:r w:rsidRPr="00A25EBF">
        <w:t xml:space="preserve">Dva su osnovna načina </w:t>
      </w:r>
      <w:r w:rsidR="00876AB8">
        <w:t>interakcija</w:t>
      </w:r>
      <w:r w:rsidRPr="00A25EBF">
        <w:t xml:space="preserve"> </w:t>
      </w:r>
      <w:r w:rsidR="00876AB8" w:rsidRPr="00A25EBF">
        <w:t>mal</w:t>
      </w:r>
      <w:r w:rsidR="00876AB8">
        <w:t>ih</w:t>
      </w:r>
      <w:r w:rsidR="00876AB8" w:rsidRPr="00A25EBF">
        <w:t xml:space="preserve"> organsk</w:t>
      </w:r>
      <w:r w:rsidR="00876AB8">
        <w:t>ih</w:t>
      </w:r>
      <w:r w:rsidR="00876AB8" w:rsidRPr="00A25EBF">
        <w:t xml:space="preserve"> molekul</w:t>
      </w:r>
      <w:r w:rsidR="00876AB8">
        <w:t>a</w:t>
      </w:r>
      <w:r w:rsidR="00876AB8" w:rsidRPr="00A25EBF">
        <w:t xml:space="preserve"> </w:t>
      </w:r>
      <w:r w:rsidRPr="00A25EBF">
        <w:t>s polinukleotidima.</w:t>
      </w:r>
      <w:r w:rsidR="007A73F6">
        <w:t xml:space="preserve"> </w:t>
      </w:r>
      <w:r>
        <w:t>Prvi način vezanja uključuje ireverzibilne interakcije pri kojima dolazi do stvaranja kovalentnih veza s nukleinskim kiselinama.</w:t>
      </w:r>
      <w:r w:rsidR="00DB7ADB">
        <w:fldChar w:fldCharType="begin" w:fldLock="1"/>
      </w:r>
      <w:r w:rsidR="00E37EB5">
        <w:instrText>ADDIN CSL_CITATION {"citationItems":[{"id":"ITEM-1","itemData":{"DOI":"10.12691/bb-2-1-1","abstract":"The necessity for cellular regulation of DNA led to the development of metallonucleases to catalyze and repair DNA strand breaks. Due to cationic character, three-dimensional structural profiles, and propensity for performing hydrolysis, redox, or photoreactions of metal ions and complexes, have a natural ability for interacting with DNA. Since binding and cleavage of DNA is at the heart of cellular transcription and translation, it is an obvious target for therapeutic intervention and the development of diagnostic structural probes. Inorganic constructs such as cisplatin and its analogs exercise antitumor activity by inner-sphere coordination to DNA. During the last decades, the continuous evolution of artificial metallonucleases and metal-based chemotherapeutics such as cisplatin, photo-active octahedral metal complexes have been successfully used as DNA luminescent probes and light-driven reactive agents during the last decades. A recent emerging trend to improve their potential as molecular tools for studies of the genetic material is the design of bifunctional assemblies where the photo-active metal centre is tethered through a flexible linker to a nucleic acid recognition or reactive moiety. In this view, new metal complexes have been designed that utilize or create open coordination positions for DNA binding and hydrolysis, generate reactive oxygen containing species or other radicals for DNA oxidation, or perform direct redox reactions with DNA. This review briefly covers the aspects of drug molecule interaction factors, modes of DNA binding via groove binders, intercalators and alkylators along with the cleavage patterns such as hydrolytic, oxidative and photoinduced DNA cleavage, taking an example of Cisplatin and its mechanism.","author":[{"dropping-particle":"","family":"R","given":"Sangeetha Gowda K","non-dropping-particle":"","parse-names":false,"suffix":""},{"dropping-particle":"","family":"Mathew","given":"Blessy Baby","non-dropping-particle":"","parse-names":false,"suffix":""},{"dropping-particle":"","family":"Sudhamani","given":"C N","non-dropping-particle":"","parse-names":false,"suffix":""},{"dropping-particle":"","family":"Naik","given":"H S Bhojya","non-dropping-particle":"","parse-names":false,"suffix":""}],"container-title":"Biomedicine and Biotechnology ","id":"ITEM-1","issue":"1","issued":{"date-parts":[["2013"]]},"page":"1-9","title":"Mechanism of DNA Binding and Cleavage. ","type":"article-journal","volume":"2"},"uris":["http://www.mendeley.com/documents/?uuid=ac168326-eaef-46e1-907c-e557a6fe0761","http://www.mendeley.com/documents/?uuid=69d482ee-b1b4-4dad-b72b-3325e452c919"]}],"mendeley":{"formattedCitation":"&lt;sup&gt;8&lt;/sup&gt;","plainTextFormattedCitation":"8","previouslyFormattedCitation":"&lt;sup&gt;8&lt;/sup&gt;"},"properties":{"noteIndex":0},"schema":"https://github.com/citation-style-language/schema/raw/master/csl-citation.json"}</w:instrText>
      </w:r>
      <w:r w:rsidR="00DB7ADB">
        <w:fldChar w:fldCharType="separate"/>
      </w:r>
      <w:r w:rsidR="00DB7ADB" w:rsidRPr="00DB7ADB">
        <w:rPr>
          <w:noProof/>
          <w:vertAlign w:val="superscript"/>
        </w:rPr>
        <w:t>8</w:t>
      </w:r>
      <w:r w:rsidR="00DB7ADB">
        <w:fldChar w:fldCharType="end"/>
      </w:r>
      <w:r>
        <w:t xml:space="preserve"> Drugi način vezanja temelji se na nekovalentnim, reverzibilnim interakcijama. Takve interakcije najčešće se dijele u tri skupine: elektrostatske interakcije između pozitivno nabijene organske molekule i negativno nabijene fosfatne okosnice </w:t>
      </w:r>
      <w:r>
        <w:lastRenderedPageBreak/>
        <w:t>polinukleotida, vezanje molekule u mali ili veliki utor polinukleotida te interkalacija između parova baza nukleinske kiseline (Slika 2).</w:t>
      </w:r>
    </w:p>
    <w:p w14:paraId="1978F776" w14:textId="77777777" w:rsidR="00DD53C7" w:rsidRDefault="00DD53C7" w:rsidP="00451899">
      <w:pPr>
        <w:pStyle w:val="OCJENSKIRADOVIOdlomak3NASTAVAKODLOMKA"/>
        <w:jc w:val="center"/>
      </w:pPr>
      <w:r>
        <w:rPr>
          <w:noProof/>
          <w:lang w:eastAsia="hr-HR"/>
        </w:rPr>
        <w:drawing>
          <wp:inline distT="0" distB="0" distL="0" distR="0" wp14:anchorId="0E918FD1" wp14:editId="01470358">
            <wp:extent cx="3972533" cy="3086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065" cy="3091951"/>
                    </a:xfrm>
                    <a:prstGeom prst="rect">
                      <a:avLst/>
                    </a:prstGeom>
                    <a:noFill/>
                    <a:ln>
                      <a:noFill/>
                    </a:ln>
                  </pic:spPr>
                </pic:pic>
              </a:graphicData>
            </a:graphic>
          </wp:inline>
        </w:drawing>
      </w:r>
    </w:p>
    <w:p w14:paraId="50BA1A58" w14:textId="44AB3749" w:rsidR="00DD53C7" w:rsidRDefault="00DD53C7" w:rsidP="00451899">
      <w:pPr>
        <w:pStyle w:val="OCJENSKIRADOVIOdlomak3NASTAVAKODLOMKA"/>
        <w:jc w:val="center"/>
      </w:pPr>
      <w:r>
        <w:t>Slika 2. Shematski prikaz: a) elektrostatskih interakcija; b) vezanja u utor polinukleotida; c) agregiranja male molekule i d) interkalacije.</w:t>
      </w:r>
    </w:p>
    <w:p w14:paraId="6031C911" w14:textId="48274A77" w:rsidR="00DD53C7" w:rsidRDefault="00DD53C7" w:rsidP="003505B1">
      <w:pPr>
        <w:pStyle w:val="NormalWeb"/>
        <w:spacing w:line="360" w:lineRule="auto"/>
        <w:jc w:val="both"/>
      </w:pPr>
      <w:r>
        <w:t>Elektrostatske interakcije polikationskih spojeva s negativno nabijenim fosfatnim skupinama polinukleotida pokazuju izravnu ovisnost afiniteta o broju pozitivnih naboja male molekule. Takvi spojevi obično pokazuju malu ili nikakvu selektivnost vezanja s obzirom na slijed nukleotida u DNA ili RNA, no unatoč tome mogu imati značajnu biološku važnost.</w:t>
      </w:r>
      <w:r w:rsidR="00DB7ADB">
        <w:fldChar w:fldCharType="begin" w:fldLock="1"/>
      </w:r>
      <w:r w:rsidR="00E37EB5">
        <w:instrText>ADDIN CSL_CITATION {"citationItems":[{"id":"ITEM-1","itemData":{"DOI":"10.1093/nar/gkw237","ISSN":"13624962","PMID":"27085806","abstract":"There is a wide range of applications for non-covalent DNA binding ligands, and optimization of such interactions requires detailed understanding of the binding mechanisms. One important class of these ligands is that of intercalators, which bind DNA by inserting aromatic moieties between adjacent DNA base pairs. Characterizing the dynamic and equilibrium aspects of DNA-intercalator complex assembly may allow optimization of DNA binding for specific functions. Single-molecule force spectroscopy studies have recently revealed new details about the molecular mechanisms governing DNA intercalation. These studies can provide the binding kinetics and affinity as well as determining the magnitude of the double helix structural deformations during the dynamic assembly of DNA-ligand complexes. These results may in turn guide the rational design of intercalators synthesized for DNA-targeted drugs, optical probes, or integrated biological self-assembly processes. Herein, we survey the progress in experimental methods as well as the corresponding analysis framework for understanding single molecule DNA binding mechanisms. We discuss briefly minor and major groove binding ligands, and then focus on intercalators, which have been probed extensively with these methods. Conventional mono-intercalators and bis-intercalators are discussed, followed by unconventional DNA intercalation. We then consider the prospects for using these methods in optimizing conventional and unconventional DNA-intercalating small molecules.","author":[{"dropping-particle":"","family":"Almaqwashi","given":"Ali A.","non-dropping-particle":"","parse-names":false,"suffix":""},{"dropping-particle":"","family":"Paramanathan","given":"Thayaparan","non-dropping-particle":"","parse-names":false,"suffix":""},{"dropping-particle":"","family":"Rouzina","given":"Ioulia","non-dropping-particle":"","parse-names":false,"suffix":""},{"dropping-particle":"","family":"Williams","given":"Mark C.","non-dropping-particle":"","parse-names":false,"suffix":""}],"container-title":"Nucleic Acids Research","id":"ITEM-1","issue":"9","issued":{"date-parts":[["2016"]]},"page":"3971-3988","title":"Mechanisms of small molecule-DNA interactions probed by single-molecule force spectroscopy","type":"article-journal","volume":"44"},"uris":["http://www.mendeley.com/documents/?uuid=4df1c3b4-b077-4e51-b1dd-37170a2feb98","http://www.mendeley.com/documents/?uuid=0c3662fe-5a8b-4c80-b638-91d1f2ad53c0"]}],"mendeley":{"formattedCitation":"&lt;sup&gt;9&lt;/sup&gt;","plainTextFormattedCitation":"9","previouslyFormattedCitation":"&lt;sup&gt;9&lt;/sup&gt;"},"properties":{"noteIndex":0},"schema":"https://github.com/citation-style-language/schema/raw/master/csl-citation.json"}</w:instrText>
      </w:r>
      <w:r w:rsidR="00DB7ADB">
        <w:fldChar w:fldCharType="separate"/>
      </w:r>
      <w:r w:rsidR="00DB7ADB" w:rsidRPr="00DB7ADB">
        <w:rPr>
          <w:noProof/>
          <w:vertAlign w:val="superscript"/>
        </w:rPr>
        <w:t>9</w:t>
      </w:r>
      <w:r w:rsidR="00DB7ADB">
        <w:fldChar w:fldCharType="end"/>
      </w:r>
    </w:p>
    <w:p w14:paraId="795EFD73" w14:textId="10A3E7A5" w:rsidR="00DD53C7" w:rsidRDefault="00DD53C7" w:rsidP="00451899">
      <w:pPr>
        <w:pStyle w:val="NormalWeb"/>
        <w:spacing w:line="360" w:lineRule="auto"/>
        <w:ind w:firstLine="720"/>
        <w:jc w:val="both"/>
      </w:pPr>
      <w:r>
        <w:t xml:space="preserve">Kod molekula koje se vežu u mali utor polinukleotida potrebna je određena fleksibilnost strukture kako bi molekula mogla pratiti zakrivljeni oblik utora. Takve molekule često sadrže dodatne funkcionalne skupine, primjerice pozitivno nabijene dijelove koji omogućuju elektrostatsku interakciju s fosfatnom okosnicom, ali i stvaranje vodikovih veza s bazama nukleotida u manjem ili većem utoru. </w:t>
      </w:r>
      <w:r w:rsidRPr="00A25EBF">
        <w:t xml:space="preserve">Velika većina spojeva pokazuje selektivnost prema manjem utoru dvostruke uzvojnice DNA u usporedbi s RNA, što se objašnjava oblikom dvostruke uzvojnice RNA, čiji je manji utor širi i plići i </w:t>
      </w:r>
      <w:r w:rsidR="009D3E0E" w:rsidRPr="00A25EBF">
        <w:t>svoj</w:t>
      </w:r>
      <w:r w:rsidR="009D3E0E">
        <w:t>im</w:t>
      </w:r>
      <w:r w:rsidR="009D3E0E" w:rsidRPr="00A25EBF">
        <w:t xml:space="preserve"> </w:t>
      </w:r>
      <w:r w:rsidR="004F4C46">
        <w:t xml:space="preserve">oblikom i </w:t>
      </w:r>
      <w:r w:rsidRPr="00A25EBF">
        <w:t>veličinom ne odgovara maloj molekuli.</w:t>
      </w:r>
      <w:r>
        <w:t xml:space="preserve"> Treći način nekovalentne interakcije jest interkalacija, odnosno umetanje planarne aromatske ili heteroaromatske molekule između susjednih parova baza polinukleotida u gotovo paralelnoj orijentaciji. Interkalacija uzrokuje veće strukturne promjene DNA u </w:t>
      </w:r>
      <w:r>
        <w:lastRenderedPageBreak/>
        <w:t>usporedbi s vezanjem u utor, budući da uključuje više vrsta intermolekulskih interakcija koje stabiliziraju nastali kompleks</w:t>
      </w:r>
      <w:r w:rsidR="007B702D">
        <w:t xml:space="preserve"> </w:t>
      </w:r>
      <w:r w:rsidR="007B702D" w:rsidRPr="007B702D">
        <w:rPr>
          <w:lang w:val="en-US"/>
        </w:rPr>
        <w:t>(interakcije slaganja, solvofobni efekti i elektrostatske interakcije između permanentnih dipola, te međudjelovanja između induciranih dipola)</w:t>
      </w:r>
      <w:r>
        <w:t xml:space="preserve">. </w:t>
      </w:r>
      <w:r w:rsidR="007B702D" w:rsidRPr="007B702D">
        <w:rPr>
          <w:lang w:val="en-US"/>
        </w:rPr>
        <w:t>Prilikom razmotavanja uzvojnice i razdvajanja baza te umetanja interkalatora, dolazi do promjene u fizikalnim svojstvima molekule DNA tj. produžuje se lanac molekule DNA i narušava se</w:t>
      </w:r>
      <w:r w:rsidR="004B10C7">
        <w:rPr>
          <w:lang w:val="en-US"/>
        </w:rPr>
        <w:t xml:space="preserve"> uobičajena struktura uzvojnice.</w:t>
      </w:r>
      <w:r w:rsidR="007B702D">
        <w:rPr>
          <w:lang w:val="en-US"/>
        </w:rPr>
        <w:t xml:space="preserve"> </w:t>
      </w:r>
      <w:r w:rsidR="00DB7ADB">
        <w:fldChar w:fldCharType="begin" w:fldLock="1"/>
      </w:r>
      <w:r w:rsidR="00E37EB5">
        <w:instrText>ADDIN CSL_CITATION {"citationItems":[{"id":"ITEM-1","itemData":{"ISSN":"00229830","abstract":"A number of compounds are designed and prepared with the aim of biological and/or biochemical implementation (therapeutic usage, markers, molecular devices...). Study of noncovalent inteactions of small organic molecules with natural and synthetic polynucleotides in aqueousmedia is alogical choice for fast screening after preparation of novel DNA and RNA active substances. Today, a number of rather simple and handy experimental methods is available forthe studymand characterisation of the complexes betweenthe polinucleotide and a small molecule of interest.","author":[{"dropping-particle":"","family":"Piantanida","given":"I.","non-dropping-particle":"","parse-names":false,"suffix":""}],"container-title":"Kemija u industriji/Journal of Chemists and Chemical Engineers","id":"ITEM-1","issue":"11","issued":{"date-parts":[["2003"]]},"page":"545-552","title":"Metode ispitivanja nekovalentnih interakcija malih organskih molekula s DNA i RNA. Detaljniji osvrt na ispitivanje interkalativnog načina vezanja","type":"article-journal","volume":"52"},"uris":["http://www.mendeley.com/documents/?uuid=32f005f5-9c2c-4e6a-9f55-6021d78b2d6f","http://www.mendeley.com/documents/?uuid=0300e639-68df-47a0-9020-07aa0bcf7b84"]},{"id":"ITEM-2","itemData":{"DOI":"10.1093/nar/gkw237","ISSN":"13624962","PMID":"27085806","abstract":"There is a wide range of applications for non-covalent DNA binding ligands, and optimization of such interactions requires detailed understanding of the binding mechanisms. One important class of these ligands is that of intercalators, which bind DNA by inserting aromatic moieties between adjacent DNA base pairs. Characterizing the dynamic and equilibrium aspects of DNA-intercalator complex assembly may allow optimization of DNA binding for specific functions. Single-molecule force spectroscopy studies have recently revealed new details about the molecular mechanisms governing DNA intercalation. These studies can provide the binding kinetics and affinity as well as determining the magnitude of the double helix structural deformations during the dynamic assembly of DNA-ligand complexes. These results may in turn guide the rational design of intercalators synthesized for DNA-targeted drugs, optical probes, or integrated biological self-assembly processes. Herein, we survey the progress in experimental methods as well as the corresponding analysis framework for understanding single molecule DNA binding mechanisms. We discuss briefly minor and major groove binding ligands, and then focus on intercalators, which have been probed extensively with these methods. Conventional mono-intercalators and bis-intercalators are discussed, followed by unconventional DNA intercalation. We then consider the prospects for using these methods in optimizing conventional and unconventional DNA-intercalating small molecules.","author":[{"dropping-particle":"","family":"Almaqwashi","given":"Ali A.","non-dropping-particle":"","parse-names":false,"suffix":""},{"dropping-particle":"","family":"Paramanathan","given":"Thayaparan","non-dropping-particle":"","parse-names":false,"suffix":""},{"dropping-particle":"","family":"Rouzina","given":"Ioulia","non-dropping-particle":"","parse-names":false,"suffix":""},{"dropping-particle":"","family":"Williams","given":"Mark C.","non-dropping-particle":"","parse-names":false,"suffix":""}],"container-title":"Nucleic Acids Research","id":"ITEM-2","issue":"9","issued":{"date-parts":[["2016"]]},"page":"3971-3988","title":"Mechanisms of small molecule-DNA interactions probed by single-molecule force spectroscopy","type":"article-journal","volume":"44"},"uris":["http://www.mendeley.com/documents/?uuid=0c3662fe-5a8b-4c80-b638-91d1f2ad53c0","http://www.mendeley.com/documents/?uuid=4df1c3b4-b077-4e51-b1dd-37170a2feb98"]}],"mendeley":{"formattedCitation":"&lt;sup&gt;9,10&lt;/sup&gt;","plainTextFormattedCitation":"9,10","previouslyFormattedCitation":"&lt;sup&gt;9,10&lt;/sup&gt;"},"properties":{"noteIndex":0},"schema":"https://github.com/citation-style-language/schema/raw/master/csl-citation.json"}</w:instrText>
      </w:r>
      <w:r w:rsidR="00DB7ADB">
        <w:fldChar w:fldCharType="separate"/>
      </w:r>
      <w:r w:rsidR="00DB7ADB" w:rsidRPr="00DB7ADB">
        <w:rPr>
          <w:noProof/>
          <w:vertAlign w:val="superscript"/>
        </w:rPr>
        <w:t>9,10</w:t>
      </w:r>
      <w:r w:rsidR="00DB7ADB">
        <w:fldChar w:fldCharType="end"/>
      </w:r>
    </w:p>
    <w:p w14:paraId="4C2E104D" w14:textId="0747A474" w:rsidR="00DD53C7" w:rsidRDefault="00DD53C7" w:rsidP="003505B1">
      <w:pPr>
        <w:pStyle w:val="NormalWeb"/>
        <w:spacing w:line="360" w:lineRule="auto"/>
        <w:jc w:val="both"/>
      </w:pPr>
      <w:r>
        <w:t xml:space="preserve">Kod cijaninskih boja, prisutnost </w:t>
      </w:r>
      <w:r w:rsidR="004F4C46">
        <w:t xml:space="preserve">voluminoznih </w:t>
      </w:r>
      <w:r>
        <w:t xml:space="preserve">supstituenata na kinolinskom prstenu često favorizira vezanje u mali utor umjesto interkalacije. Također je pokazano da </w:t>
      </w:r>
      <w:r w:rsidR="004F4C46">
        <w:t xml:space="preserve">voluminozni </w:t>
      </w:r>
      <w:r>
        <w:t xml:space="preserve">fosfonijevi supstituenti mogu razlikovati </w:t>
      </w:r>
      <w:r w:rsidR="004F4C46">
        <w:t xml:space="preserve">konsekutivne </w:t>
      </w:r>
      <w:r>
        <w:t>i alternirajuće AT-DNA sekvence formiranjem dimera unutar malog utora DNA. Zbog snažnog utjecaja supstituenata na fotofizikalna svojstva i način vezanja, cijaninske boje predstavljaju vrlo pogodne fluorescentne probe. Međutim, njihova sinteza često je izazovna, jer promjene u strukturi mogu dovesti do neželjenih svojstava, poput agregacije molekula, osobito pri povećanju hidrofobnog dijela strukture.</w:t>
      </w:r>
      <w:r w:rsidR="00DB7ADB">
        <w:fldChar w:fldCharType="begin" w:fldLock="1"/>
      </w:r>
      <w:r w:rsidR="00DB7ADB">
        <w:instrText>ADDIN CSL_CITATION {"citationItems":[{"id":"ITEM-1","itemData":{"DOI":"10.1039/d3nj05400d","ISSN":"13699261","abstract":"Three novel monomethine cyanine dyes were synthesized carrying electron donating groups to obtain even brighter nucleic acids probes. Photophysical properties of these dyes were evaluated with DNA and selected dyes with RNA. A great variation in brightness and binding properties of the dyes was observed. Moreover the X-ray crystal structures are presented for two dyes.","author":[{"dropping-particle":"","family":"Alaranta","given":"Johanna M.","non-dropping-particle":"","parse-names":false,"suffix":""},{"dropping-particle":"","family":"Valkonen","given":"Arto M.","non-dropping-particle":"","parse-names":false,"suffix":""},{"dropping-particle":"","family":"Shroff","given":"Sailee S.","non-dropping-particle":"","parse-names":false,"suffix":""},{"dropping-particle":"","family":"Marjomäki","given":"Varpu S.","non-dropping-particle":"","parse-names":false,"suffix":""},{"dropping-particle":"","family":"Rissanen","given":"Kari","non-dropping-particle":"","parse-names":false,"suffix":""},{"dropping-particle":"","family":"Lahtinen","given":"Tanja M.","non-dropping-particle":"","parse-names":false,"suffix":""}],"container-title":"New Journal of Chemistry","id":"ITEM-1","issue":"11","issued":{"date-parts":[["2024"]]},"page":"4931-4935","title":"Modifying the terminal phenyl group of monomethine cyanine dyes as a pathway to brighter nucleic acid probes","type":"article-journal","volume":"48"},"uris":["http://www.mendeley.com/documents/?uuid=9306c398-541b-4500-b31c-994f0031d43e"]},{"id":"ITEM-2","itemData":{"DOI":"10.1007/b100442","ISBN":"3540228357","ISSN":"03401022","abstract":"The cyanine dyes are among the oldest classes of synthetic compounds but continue to find applications in a variety of fields. In many cases, the dyes act as fluorescent labels for biomolecules, and can interact with the biomolecule either through covalent or noncovalent bonding. One particularly important application involves dyes that bind to double helical DNA by intercalation and exhibit large fluorescence enhancements upon binding. This chapter describes recent investigations of the noncovalent binding modes by which cyanine dyes recognize DNA, with special emphasis placed on relationships between the dye structure and DNA binding mode. In addition to simple binding of the dye as a monomer, several dyes form well-defined helical aggregates using DNA as a template. While these dyes are typically achiral, the aggregates exhibit induced chirality due to the right-handed helical structure of the underlying DNA template. Spectroscopic methods for characterizing these supramolecular assemblies as well as the monomeric complexes are described. © Springer-Verlag Berlin Heidelberg 2005.","author":[{"dropping-particle":"","family":"Armitage","given":"Bruce A.","non-dropping-particle":"","parse-names":false,"suffix":""}],"container-title":"Topics in Current Chemistry","id":"ITEM-2","issued":{"date-parts":[["2005"]]},"page":"55-76","title":"Cyanine dye-DNA interactions: Intercalation, groove binding, and aggregation","type":"article-journal","volume":"253"},"uris":["http://www.mendeley.com/documents/?uuid=a32c8938-9097-41d0-8356-676f5219ed73"]}],"mendeley":{"formattedCitation":"&lt;sup&gt;6,7&lt;/sup&gt;","plainTextFormattedCitation":"6,7","previouslyFormattedCitation":"&lt;sup&gt;6,7&lt;/sup&gt;"},"properties":{"noteIndex":0},"schema":"https://github.com/citation-style-language/schema/raw/master/csl-citation.json"}</w:instrText>
      </w:r>
      <w:r w:rsidR="00DB7ADB">
        <w:fldChar w:fldCharType="separate"/>
      </w:r>
      <w:r w:rsidR="00DB7ADB" w:rsidRPr="00DB7ADB">
        <w:rPr>
          <w:noProof/>
          <w:vertAlign w:val="superscript"/>
        </w:rPr>
        <w:t>6,7</w:t>
      </w:r>
      <w:r w:rsidR="00DB7ADB">
        <w:fldChar w:fldCharType="end"/>
      </w:r>
      <w:r w:rsidR="00DB7ADB">
        <w:t xml:space="preserve"> </w:t>
      </w:r>
    </w:p>
    <w:p w14:paraId="1E3426A0" w14:textId="7F272C18" w:rsidR="00DD53C7" w:rsidRDefault="00DD53C7" w:rsidP="00451899">
      <w:pPr>
        <w:pStyle w:val="NormalWeb"/>
        <w:spacing w:line="360" w:lineRule="auto"/>
        <w:ind w:firstLine="720"/>
        <w:jc w:val="both"/>
      </w:pPr>
      <w:r>
        <w:t xml:space="preserve">U radu objavljenom u časopisu </w:t>
      </w:r>
      <w:r>
        <w:rPr>
          <w:rStyle w:val="Emphasis"/>
        </w:rPr>
        <w:t>Molecules</w:t>
      </w:r>
      <w:r>
        <w:t xml:space="preserve"> 2024. godine razvijena je nova asimetrična dikationska monometinska cijaninska boja </w:t>
      </w:r>
      <w:r w:rsidR="004211B0">
        <w:t>(</w:t>
      </w:r>
      <w:r w:rsidR="004211B0" w:rsidRPr="005F66F8">
        <w:rPr>
          <w:b/>
        </w:rPr>
        <w:t>R9</w:t>
      </w:r>
      <w:r w:rsidR="004211B0">
        <w:t>) temeljena na strukturi tiazol narančasto (</w:t>
      </w:r>
      <w:r w:rsidR="00451899" w:rsidRPr="00451899">
        <w:t>eng</w:t>
      </w:r>
      <w:r w:rsidR="00451899">
        <w:t>l</w:t>
      </w:r>
      <w:r w:rsidR="00451899" w:rsidRPr="00451899">
        <w:t xml:space="preserve">. </w:t>
      </w:r>
      <w:r w:rsidR="00451899" w:rsidRPr="00451899">
        <w:rPr>
          <w:i/>
        </w:rPr>
        <w:t>thiazole orange</w:t>
      </w:r>
      <w:r w:rsidR="00451899">
        <w:t xml:space="preserve">, </w:t>
      </w:r>
      <w:r w:rsidR="004211B0">
        <w:t>TO)</w:t>
      </w:r>
      <w:r>
        <w:t xml:space="preserve">. Cilj razvoja bio je poboljšati </w:t>
      </w:r>
      <w:r w:rsidR="003505B1">
        <w:t xml:space="preserve">svojstva cijaninske boje i </w:t>
      </w:r>
      <w:r>
        <w:t>vezanje na nukleinske kiseline te omogućiti njezinu unutarstaničnu primjenu uz pomoć lipidnih nanočestica.</w:t>
      </w:r>
    </w:p>
    <w:p w14:paraId="7AFA69A6" w14:textId="73B3F4CC" w:rsidR="004B10C7" w:rsidRDefault="004B10C7">
      <w:pPr>
        <w:rPr>
          <w:lang w:val="hr-HR" w:eastAsia="hr-HR"/>
        </w:rPr>
      </w:pPr>
      <w:r>
        <w:br w:type="page"/>
      </w:r>
    </w:p>
    <w:p w14:paraId="5483D092" w14:textId="3FDBD7DC" w:rsidR="00424536" w:rsidRPr="00A44071" w:rsidRDefault="002B6429" w:rsidP="00070565">
      <w:pPr>
        <w:pStyle w:val="OCJENSKIRADOVI1Naslovpoglavlja"/>
      </w:pPr>
      <w:bookmarkStart w:id="7" w:name="_Toc225421348"/>
      <w:r>
        <w:lastRenderedPageBreak/>
        <w:t>SINTEZA I ANALIZA INTERAKCIJA BOJE r9 S POLINUKLEOTIDIMA</w:t>
      </w:r>
      <w:bookmarkEnd w:id="7"/>
    </w:p>
    <w:p w14:paraId="5650022E" w14:textId="54FCB765" w:rsidR="00A258ED" w:rsidRPr="00A258ED" w:rsidRDefault="002B6429" w:rsidP="00A258ED">
      <w:pPr>
        <w:pStyle w:val="OCJENSKIRADOVI2Podnaslovpoglavlja"/>
        <w:spacing w:line="360" w:lineRule="auto"/>
        <w:rPr>
          <w:lang w:val="en-US"/>
        </w:rPr>
      </w:pPr>
      <w:bookmarkStart w:id="8" w:name="_Toc225421349"/>
      <w:r>
        <w:rPr>
          <w:lang w:val="en-US"/>
        </w:rPr>
        <w:t>Sinteza</w:t>
      </w:r>
      <w:bookmarkEnd w:id="8"/>
    </w:p>
    <w:p w14:paraId="35125C48" w14:textId="37EA704E" w:rsidR="00A258ED" w:rsidRDefault="00A258ED" w:rsidP="00A258ED">
      <w:pPr>
        <w:spacing w:line="360" w:lineRule="auto"/>
        <w:jc w:val="both"/>
      </w:pPr>
      <w:r>
        <w:t xml:space="preserve">Dizajn cijaninske boje </w:t>
      </w:r>
      <w:r>
        <w:rPr>
          <w:rStyle w:val="Strong"/>
        </w:rPr>
        <w:t>R9</w:t>
      </w:r>
      <w:r>
        <w:t xml:space="preserve"> temelji se na strukturi poznate fluorescentne probe </w:t>
      </w:r>
      <w:r w:rsidRPr="00A258ED">
        <w:rPr>
          <w:rStyle w:val="Strong"/>
          <w:b w:val="0"/>
        </w:rPr>
        <w:t>tiazol narančasto</w:t>
      </w:r>
      <w:r>
        <w:t>, koja pokazuje izraženo povećanje fluorescencije pri vezanju na nukleinske kiseline. Uvođenjem dodatnih kationskih centara i asimetrične strukture nastoji se poboljšati topljivost u vodenim medijima i povećati afinitet vezanja prema negativno nabijenoj fosfatnoj okosnici polinukleotida.</w:t>
      </w:r>
      <w:r w:rsidR="00DB7ADB">
        <w:fldChar w:fldCharType="begin" w:fldLock="1"/>
      </w:r>
      <w:r w:rsidR="00496879">
        <w:instrText>ADDIN CSL_CITATION {"citationItems":[{"id":"ITEM-1","itemData":{"DOI":"10.1039/d3cs00585b","ISSN":"14604744","PMID":"39576179","abstract":"Cyanine dyes have been widely used in phototherapy in recent years due to their excellent optical properties and diverse modifiable structures. This review provides detailed descriptions of the basic structures of various cyanines and their derivatives as well as their optical properties. It summarizes the strategies for constructing cyanine dyes for phototherapy and discusses their structure-effect relationship. Furthermore, a comprehensive classification and summary of the applications of cyanine dyes in phototherapy are presented. Importantly, this review also addresses both the advances made in this field as well as the challenges that need to be overcome. We hope that these profound insights into phototherapy using cyanine dyes will facilitate the design of future systems for clinical applications based on these compounds.","author":[{"dropping-particle":"","family":"Yuan","given":"Jie","non-dropping-particle":"","parse-names":false,"suffix":""},{"dropping-particle":"","family":"Yang","given":"Hanxue","non-dropping-particle":"","parse-names":false,"suffix":""},{"dropping-particle":"","family":"Huang","given":"Wenhui","non-dropping-particle":"","parse-names":false,"suffix":""},{"dropping-particle":"","family":"Liu","given":"Shilong","non-dropping-particle":"","parse-names":false,"suffix":""},{"dropping-particle":"","family":"Zhang","given":"Hua","non-dropping-particle":"","parse-names":false,"suffix":""},{"dropping-particle":"","family":"Zhang","given":"Xiaobing","non-dropping-particle":"","parse-names":false,"suffix":""},{"dropping-particle":"","family":"Peng","given":"Xiaojun","non-dropping-particle":"","parse-names":false,"suffix":""}],"container-title":"Chemical Society Reviews","id":"ITEM-1","issue":"1","issued":{"date-parts":[["2024"]]},"page":"341-366","publisher":"Royal Society of Chemistry","title":"Design strategies and applications of cyanine dyes in phototherapy","type":"article-journal","volume":"54"},"uris":["http://www.mendeley.com/documents/?uuid=97bc2242-f129-4dfd-bf24-054b3514b651"]},{"id":"ITEM-2","itemData":{"author":[{"dropping-particle":"","family":"Balanda","given":"A O","non-dropping-particle":"","parse-names":false,"suffix":""},{"dropping-particle":"","family":"Yarmoluk","given":"S M","non-dropping-particle":"","parse-names":false,"suffix":""}],"container-title":"Biopolymers and Cell","id":"ITEM-2","issue":"2","issued":{"date-parts":[["2025"]]},"page":"121-129","title":"EFFECT OF DNA, RNA AND HSA ON THE SPECTRAL-LUMINESCENT PROPERTIES OF SEVERAL MONOMETHINE CYANINE DYES","type":"article-journal","volume":"41"},"uris":["http://www.mendeley.com/documents/?uuid=484e8689-6fd2-459f-8fab-ce03216274f5"]}],"mendeley":{"formattedCitation":"&lt;sup&gt;4,11&lt;/sup&gt;","plainTextFormattedCitation":"4,11","previouslyFormattedCitation":"&lt;sup&gt;4,11&lt;/sup&gt;"},"properties":{"noteIndex":0},"schema":"https://github.com/citation-style-language/schema/raw/master/csl-citation.json"}</w:instrText>
      </w:r>
      <w:r w:rsidR="00DB7ADB">
        <w:fldChar w:fldCharType="separate"/>
      </w:r>
      <w:r w:rsidR="00DB7ADB" w:rsidRPr="00DB7ADB">
        <w:rPr>
          <w:noProof/>
          <w:vertAlign w:val="superscript"/>
        </w:rPr>
        <w:t>4,11</w:t>
      </w:r>
      <w:r w:rsidR="00DB7ADB">
        <w:fldChar w:fldCharType="end"/>
      </w:r>
      <w:r>
        <w:t xml:space="preserve"> Takva modifikacija strukture može utjecati i na fotofizikalna svojstva molekule, osobito na intenzitet fluorescencije nakon vezanja na DNA ili RNA. Razvoj novih cijaninskih boja poput </w:t>
      </w:r>
      <w:r w:rsidRPr="005F66F8">
        <w:rPr>
          <w:b/>
          <w:bCs/>
        </w:rPr>
        <w:t>R9</w:t>
      </w:r>
      <w:r>
        <w:t xml:space="preserve"> stoga je usmjeren na dobivanje fluorescentnih proba s boljom selektivnošću, većom osjetljivošću i potencijalnom primjenom u biološkim sustavima.</w:t>
      </w:r>
    </w:p>
    <w:p w14:paraId="7E1471E8" w14:textId="06F1714F" w:rsidR="00A258ED" w:rsidRPr="00A258ED" w:rsidRDefault="00A258ED" w:rsidP="00A258ED">
      <w:pPr>
        <w:pStyle w:val="NormalWeb"/>
        <w:spacing w:line="360" w:lineRule="auto"/>
        <w:jc w:val="both"/>
      </w:pPr>
      <w:r>
        <w:t>Sinteza monometinske cijaninske boje započinje reakcijom kvaternizacije između 1,3-dijodopropana i piridina u acetonu pri sobnoj temperaturi (</w:t>
      </w:r>
      <w:r w:rsidRPr="005F66F8">
        <w:rPr>
          <w:b/>
          <w:bCs/>
        </w:rPr>
        <w:t>1a</w:t>
      </w:r>
      <w:r>
        <w:t xml:space="preserve"> i </w:t>
      </w:r>
      <w:r w:rsidRPr="005F66F8">
        <w:rPr>
          <w:b/>
          <w:bCs/>
        </w:rPr>
        <w:t>1b</w:t>
      </w:r>
      <w:r>
        <w:t xml:space="preserve">). Kao produkt reakcije nastaje </w:t>
      </w:r>
      <w:r w:rsidRPr="00A258ED">
        <w:rPr>
          <w:rStyle w:val="Strong"/>
          <w:b w:val="0"/>
        </w:rPr>
        <w:t>1-(3-jodopropil)piridinijev jodid (</w:t>
      </w:r>
      <w:r w:rsidRPr="00A258ED">
        <w:rPr>
          <w:rStyle w:val="Strong"/>
        </w:rPr>
        <w:t>2a</w:t>
      </w:r>
      <w:r>
        <w:rPr>
          <w:rStyle w:val="Strong"/>
        </w:rPr>
        <w:t>)</w:t>
      </w:r>
      <w:r>
        <w:t xml:space="preserve">, uz nastanak nusprodukta </w:t>
      </w:r>
      <w:r>
        <w:rPr>
          <w:rStyle w:val="Strong"/>
          <w:b w:val="0"/>
        </w:rPr>
        <w:t>1,1′-(1,3-propandi</w:t>
      </w:r>
      <w:r w:rsidRPr="00A258ED">
        <w:rPr>
          <w:rStyle w:val="Strong"/>
          <w:b w:val="0"/>
        </w:rPr>
        <w:t>il)bis(piridin-1-ijev) dijodida (</w:t>
      </w:r>
      <w:r w:rsidRPr="00A258ED">
        <w:rPr>
          <w:rStyle w:val="Strong"/>
        </w:rPr>
        <w:t>2a’</w:t>
      </w:r>
      <w:r w:rsidRPr="00A258ED">
        <w:rPr>
          <w:rStyle w:val="Strong"/>
          <w:b w:val="0"/>
        </w:rPr>
        <w:t>)</w:t>
      </w:r>
      <w:r>
        <w:t xml:space="preserve">. Dobiveni produkti nisu topljivi u dietil-eteru pa se izoliraju iz reakcijske smjese precipitacijom dodatkom tog otapala. Na taj način neizreagirani reagensi ostaju u otopini, dok se produkti talože. Daljnje pročišćavanje provedeno je kolonskom kromatografijom na silikagelu uz smjesu otapala diklormetan/metanol (DCM:MeOH). Polarniji nusprodukt </w:t>
      </w:r>
      <w:r>
        <w:rPr>
          <w:rStyle w:val="Strong"/>
        </w:rPr>
        <w:t>2a’</w:t>
      </w:r>
      <w:r>
        <w:t xml:space="preserve"> zadržava se na koloni, dok željeni produkt </w:t>
      </w:r>
      <w:r>
        <w:rPr>
          <w:rStyle w:val="Strong"/>
        </w:rPr>
        <w:t>2a</w:t>
      </w:r>
      <w:r>
        <w:t xml:space="preserve"> eluira iz kolone. U sljedećem koraku provodi se dodatna reakcija kvaternizacije između spojeva </w:t>
      </w:r>
      <w:r>
        <w:rPr>
          <w:rStyle w:val="Strong"/>
        </w:rPr>
        <w:t>2a</w:t>
      </w:r>
      <w:r>
        <w:t xml:space="preserve"> i </w:t>
      </w:r>
      <w:r>
        <w:rPr>
          <w:rStyle w:val="Strong"/>
        </w:rPr>
        <w:t>2b</w:t>
      </w:r>
      <w:r>
        <w:t xml:space="preserve"> u N-metil-2-pirolidonu (NMP), pri čemu nastaje spoj </w:t>
      </w:r>
      <w:r>
        <w:rPr>
          <w:rStyle w:val="Strong"/>
        </w:rPr>
        <w:t>3a</w:t>
      </w:r>
      <w:r>
        <w:t xml:space="preserve">. Nakon toga slijedi Michaelova 1,4-adicija spojeva </w:t>
      </w:r>
      <w:r>
        <w:rPr>
          <w:rStyle w:val="Strong"/>
        </w:rPr>
        <w:t>2c</w:t>
      </w:r>
      <w:r>
        <w:t xml:space="preserve"> i </w:t>
      </w:r>
      <w:r>
        <w:rPr>
          <w:rStyle w:val="Strong"/>
        </w:rPr>
        <w:t>2d</w:t>
      </w:r>
      <w:r>
        <w:t xml:space="preserve">, kojom nastaje međuprodukt </w:t>
      </w:r>
      <w:r>
        <w:rPr>
          <w:rStyle w:val="Strong"/>
        </w:rPr>
        <w:t>3b</w:t>
      </w:r>
      <w:r>
        <w:t xml:space="preserve">. Budući da je spoj </w:t>
      </w:r>
      <w:r>
        <w:rPr>
          <w:rStyle w:val="Strong"/>
        </w:rPr>
        <w:t xml:space="preserve">3b </w:t>
      </w:r>
      <w:r w:rsidRPr="00A258ED">
        <w:rPr>
          <w:rStyle w:val="Strong"/>
          <w:b w:val="0"/>
        </w:rPr>
        <w:t>nestabilan</w:t>
      </w:r>
      <w:r>
        <w:t xml:space="preserve">, koristi se u daljnjoj reakciji bez prethodnog pročišćavanja. Kondenzacijskom reakcijom spojeva </w:t>
      </w:r>
      <w:r>
        <w:rPr>
          <w:rStyle w:val="Strong"/>
        </w:rPr>
        <w:t>3a</w:t>
      </w:r>
      <w:r>
        <w:t xml:space="preserve"> i </w:t>
      </w:r>
      <w:r>
        <w:rPr>
          <w:rStyle w:val="Strong"/>
        </w:rPr>
        <w:t>3b</w:t>
      </w:r>
      <w:r>
        <w:t xml:space="preserve"> u prisutnosti baze </w:t>
      </w:r>
      <w:r w:rsidRPr="00AB1CE0">
        <w:rPr>
          <w:rStyle w:val="Strong"/>
          <w:b w:val="0"/>
        </w:rPr>
        <w:t>DIPEA</w:t>
      </w:r>
      <w:r>
        <w:t xml:space="preserve">, uz naknadno pročišćavanje, dobiva se ciljna monometinska cijaninska boja </w:t>
      </w:r>
      <w:r>
        <w:rPr>
          <w:rStyle w:val="Strong"/>
        </w:rPr>
        <w:t>R9</w:t>
      </w:r>
      <w:r>
        <w:t xml:space="preserve">. Reakcijski put sinteze prikazan je na </w:t>
      </w:r>
      <w:r>
        <w:rPr>
          <w:rStyle w:val="Strong"/>
          <w:b w:val="0"/>
        </w:rPr>
        <w:t>slici 3</w:t>
      </w:r>
      <w:r>
        <w:t>.</w:t>
      </w:r>
      <w:r w:rsidR="00DB7ADB">
        <w:fldChar w:fldCharType="begin" w:fldLock="1"/>
      </w:r>
      <w:r w:rsidR="00DB7ADB">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DB7ADB">
        <w:fldChar w:fldCharType="separate"/>
      </w:r>
      <w:r w:rsidR="00DB7ADB" w:rsidRPr="00DB7ADB">
        <w:rPr>
          <w:noProof/>
          <w:vertAlign w:val="superscript"/>
        </w:rPr>
        <w:t>3</w:t>
      </w:r>
      <w:r w:rsidR="00DB7ADB">
        <w:fldChar w:fldCharType="end"/>
      </w:r>
    </w:p>
    <w:p w14:paraId="1A1B387D" w14:textId="440E05FB" w:rsidR="004C0760" w:rsidRDefault="004C0760" w:rsidP="004C0760">
      <w:pPr>
        <w:spacing w:line="360" w:lineRule="auto"/>
        <w:jc w:val="center"/>
      </w:pPr>
      <w:r>
        <w:rPr>
          <w:noProof/>
          <w:lang w:val="hr-HR" w:eastAsia="hr-HR"/>
        </w:rPr>
        <w:lastRenderedPageBreak/>
        <w:drawing>
          <wp:inline distT="0" distB="0" distL="0" distR="0" wp14:anchorId="0ED950B8" wp14:editId="4A94ACC2">
            <wp:extent cx="6004139" cy="339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7285" cy="3418465"/>
                    </a:xfrm>
                    <a:prstGeom prst="rect">
                      <a:avLst/>
                    </a:prstGeom>
                    <a:noFill/>
                    <a:ln>
                      <a:noFill/>
                    </a:ln>
                  </pic:spPr>
                </pic:pic>
              </a:graphicData>
            </a:graphic>
          </wp:inline>
        </w:drawing>
      </w:r>
    </w:p>
    <w:p w14:paraId="5B44F9A5" w14:textId="6704E535" w:rsidR="003D046D" w:rsidRDefault="004C0760" w:rsidP="003D046D">
      <w:pPr>
        <w:spacing w:line="360" w:lineRule="auto"/>
        <w:jc w:val="center"/>
      </w:pPr>
      <w:r>
        <w:t xml:space="preserve">Slika </w:t>
      </w:r>
      <w:r w:rsidR="00A258ED">
        <w:t>3</w:t>
      </w:r>
      <w:r w:rsidR="003D046D">
        <w:t xml:space="preserve">. Sinteza monometinske boje </w:t>
      </w:r>
      <w:r w:rsidR="003D046D" w:rsidRPr="005F66F8">
        <w:rPr>
          <w:b/>
          <w:bCs/>
        </w:rPr>
        <w:t>R9</w:t>
      </w:r>
      <w:r w:rsidR="003D046D">
        <w:t xml:space="preserve">: (i) </w:t>
      </w:r>
      <w:r w:rsidR="003D046D" w:rsidRPr="005F66F8">
        <w:rPr>
          <w:b/>
          <w:bCs/>
        </w:rPr>
        <w:t>1a</w:t>
      </w:r>
      <w:r w:rsidR="003D046D" w:rsidRPr="009B42C2">
        <w:t>,</w:t>
      </w:r>
      <w:r w:rsidR="003D046D" w:rsidRPr="005F66F8">
        <w:rPr>
          <w:b/>
          <w:bCs/>
        </w:rPr>
        <w:t xml:space="preserve"> 1b</w:t>
      </w:r>
      <w:r w:rsidR="003D046D">
        <w:t>, aceton</w:t>
      </w:r>
      <w:r w:rsidR="0073687C">
        <w:t>, s</w:t>
      </w:r>
      <w:r w:rsidR="003D046D">
        <w:t xml:space="preserve">.t., </w:t>
      </w:r>
      <w:r w:rsidR="0073687C">
        <w:t>dva tjedna u mraku</w:t>
      </w:r>
      <w:r w:rsidR="003D046D">
        <w:t>, 91%;</w:t>
      </w:r>
    </w:p>
    <w:p w14:paraId="42AAE023" w14:textId="349C56F2" w:rsidR="003D046D" w:rsidRDefault="003D046D" w:rsidP="0073687C">
      <w:pPr>
        <w:spacing w:line="360" w:lineRule="auto"/>
        <w:jc w:val="center"/>
      </w:pPr>
      <w:r>
        <w:t xml:space="preserve">(ii) </w:t>
      </w:r>
      <w:r w:rsidRPr="005F66F8">
        <w:rPr>
          <w:b/>
          <w:bCs/>
        </w:rPr>
        <w:t>2a</w:t>
      </w:r>
      <w:r w:rsidRPr="009B42C2">
        <w:t>,</w:t>
      </w:r>
      <w:r w:rsidRPr="005F66F8">
        <w:rPr>
          <w:b/>
          <w:bCs/>
        </w:rPr>
        <w:t xml:space="preserve"> 2b</w:t>
      </w:r>
      <w:r>
        <w:t xml:space="preserve">, NMP, 145 ◦C, 3h, Et2O, 74%; (iii) </w:t>
      </w:r>
      <w:r w:rsidRPr="005F66F8">
        <w:rPr>
          <w:b/>
          <w:bCs/>
        </w:rPr>
        <w:t>2c</w:t>
      </w:r>
      <w:r w:rsidRPr="009B42C2">
        <w:t>,</w:t>
      </w:r>
      <w:r w:rsidRPr="005F66F8">
        <w:rPr>
          <w:b/>
          <w:bCs/>
        </w:rPr>
        <w:t xml:space="preserve"> 2d</w:t>
      </w:r>
      <w:r>
        <w:t>, AcOH, 48</w:t>
      </w:r>
      <w:r w:rsidR="0073687C">
        <w:t xml:space="preserve">% HBr, 68%; (iv) </w:t>
      </w:r>
      <w:r w:rsidR="0073687C" w:rsidRPr="005F66F8">
        <w:rPr>
          <w:b/>
          <w:bCs/>
        </w:rPr>
        <w:t>3a</w:t>
      </w:r>
      <w:r w:rsidR="0073687C" w:rsidRPr="009B42C2">
        <w:t>,</w:t>
      </w:r>
      <w:r w:rsidR="0073687C" w:rsidRPr="005F66F8">
        <w:rPr>
          <w:b/>
          <w:bCs/>
        </w:rPr>
        <w:t xml:space="preserve"> 3b</w:t>
      </w:r>
      <w:r w:rsidR="0073687C">
        <w:t xml:space="preserve">, DIPEA, </w:t>
      </w:r>
      <w:r>
        <w:t>EtOH:DC</w:t>
      </w:r>
      <w:r w:rsidR="00DB7ADB">
        <w:t>M = 1:1, 71% (preuzeto i prilagođeno iz ref. 3).</w:t>
      </w:r>
    </w:p>
    <w:p w14:paraId="01236ED1" w14:textId="77777777" w:rsidR="00AB1CE0" w:rsidRPr="000610BC" w:rsidRDefault="00AB1CE0" w:rsidP="0073687C">
      <w:pPr>
        <w:spacing w:line="360" w:lineRule="auto"/>
        <w:jc w:val="center"/>
      </w:pPr>
    </w:p>
    <w:p w14:paraId="5AFCB69B" w14:textId="0A95882D" w:rsidR="00AA25F0" w:rsidRPr="00A44071" w:rsidRDefault="002B6429" w:rsidP="000610BC">
      <w:pPr>
        <w:pStyle w:val="OCJENSKIRADOVI2Podnaslovpoglavlja"/>
        <w:spacing w:line="360" w:lineRule="auto"/>
      </w:pPr>
      <w:bookmarkStart w:id="9" w:name="_Toc225421350"/>
      <w:r>
        <w:rPr>
          <w:lang w:val="en-US"/>
        </w:rPr>
        <w:t>Metode ispitivanja interakcija cijaninske boje s polinukleotidima</w:t>
      </w:r>
      <w:bookmarkEnd w:id="9"/>
    </w:p>
    <w:p w14:paraId="01161277" w14:textId="666761A0" w:rsidR="00AB1CE0" w:rsidRPr="00A76291" w:rsidRDefault="002B6429" w:rsidP="00AB1CE0">
      <w:pPr>
        <w:pStyle w:val="OCJENSKIRADOVI3Podpodnaslovpoglavlja"/>
        <w:outlineLvl w:val="2"/>
        <w:rPr>
          <w:lang w:val="en-US"/>
        </w:rPr>
      </w:pPr>
      <w:bookmarkStart w:id="10" w:name="_Toc225421351"/>
      <w:r>
        <w:rPr>
          <w:lang w:val="en-US"/>
        </w:rPr>
        <w:t>UV/Vis i fluorimetrijske titracije</w:t>
      </w:r>
      <w:bookmarkEnd w:id="10"/>
    </w:p>
    <w:p w14:paraId="6D11F32B" w14:textId="627CA0C6" w:rsidR="00A76291" w:rsidRDefault="00AB1CE0" w:rsidP="00A76291">
      <w:pPr>
        <w:pStyle w:val="NormalWeb"/>
        <w:spacing w:line="360" w:lineRule="auto"/>
        <w:jc w:val="both"/>
      </w:pPr>
      <w:r>
        <w:t>UV/Vis i fluorimetrijske titracije analitičke su metode koje se koriste za proučavanje interakcija između malih organskih molekula i biomakromolekula, poput polinukleotida.</w:t>
      </w:r>
      <w:r w:rsidR="00A76291">
        <w:t xml:space="preserve"> </w:t>
      </w:r>
      <w:r w:rsidR="00A76291">
        <w:rPr>
          <w:iCs/>
        </w:rPr>
        <w:t>Ove tehnike temelje</w:t>
      </w:r>
      <w:r w:rsidR="00A76291" w:rsidRPr="00337F2F">
        <w:rPr>
          <w:iCs/>
        </w:rPr>
        <w:t xml:space="preserve"> se na interakciji između fluorofora (tvari koje emitiraju svjetlost nakon apsorpcije svjetlosti) i analita. Prati se promjena </w:t>
      </w:r>
      <w:r w:rsidR="00A76291">
        <w:rPr>
          <w:iCs/>
        </w:rPr>
        <w:t xml:space="preserve">apsorpcijskog ili emisijskog </w:t>
      </w:r>
      <w:r w:rsidR="00A76291" w:rsidRPr="00337F2F">
        <w:rPr>
          <w:iCs/>
        </w:rPr>
        <w:t xml:space="preserve">spektra nakon što se u otopinu doda </w:t>
      </w:r>
      <w:r w:rsidR="00A76291">
        <w:rPr>
          <w:iCs/>
        </w:rPr>
        <w:t>biomolekula</w:t>
      </w:r>
      <w:r w:rsidR="00A76291" w:rsidRPr="00337F2F">
        <w:rPr>
          <w:iCs/>
        </w:rPr>
        <w:t>.</w:t>
      </w:r>
      <w:r>
        <w:t xml:space="preserve"> </w:t>
      </w:r>
      <w:r w:rsidR="00042CDD">
        <w:t>Na temelju titracija mogu se odrediti</w:t>
      </w:r>
      <w:r>
        <w:t xml:space="preserve"> konstante asocijacije (Ka), koja predstavlja mjeru stabilnosti nastalog kompleksa i jakosti interakcije između male organske molekule i biomakromolekule.</w:t>
      </w:r>
      <w:r w:rsidR="00DB7ADB">
        <w:fldChar w:fldCharType="begin" w:fldLock="1"/>
      </w:r>
      <w:r w:rsidR="00E37EB5">
        <w:instrText>ADDIN CSL_CITATION {"citationItems":[{"id":"ITEM-1","itemData":{"ISSN":"00229830","abstract":"A number of compounds are designed and prepared with the aim of biological and/or biochemical implementation (therapeutic usage, markers, molecular devices...). Study of noncovalent inteactions of small organic molecules with natural and synthetic polynucleotides in aqueousmedia is alogical choice for fast screening after preparation of novel DNA and RNA active substances. Today, a number of rather simple and handy experimental methods is available forthe studymand characterisation of the complexes betweenthe polinucleotide and a small molecule of interest.","author":[{"dropping-particle":"","family":"Piantanida","given":"I.","non-dropping-particle":"","parse-names":false,"suffix":""}],"container-title":"Kemija u industriji/Journal of Chemists and Chemical Engineers","id":"ITEM-1","issue":"11","issued":{"date-parts":[["2003"]]},"page":"545-552","title":"Metode ispitivanja nekovalentnih interakcija malih organskih molekula s DNA i RNA. Detaljniji osvrt na ispitivanje interkalativnog načina vezanja","type":"article-journal","volume":"52"},"uris":["http://www.mendeley.com/documents/?uuid=0300e639-68df-47a0-9020-07aa0bcf7b84","http://www.mendeley.com/documents/?uuid=32f005f5-9c2c-4e6a-9f55-6021d78b2d6f"]},{"id":"ITEM-2","itemData":{"DOI":"10.12691/bb-2-1-1","abstract":"The necessity for cellular regulation of DNA led to the development of metallonucleases to catalyze and repair DNA strand breaks. Due to cationic character, three-dimensional structural profiles, and propensity for performing hydrolysis, redox, or photoreactions of metal ions and complexes, have a natural ability for interacting with DNA. Since binding and cleavage of DNA is at the heart of cellular transcription and translation, it is an obvious target for therapeutic intervention and the development of diagnostic structural probes. Inorganic constructs such as cisplatin and its analogs exercise antitumor activity by inner-sphere coordination to DNA. During the last decades, the continuous evolution of artificial metallonucleases and metal-based chemotherapeutics such as cisplatin, photo-active octahedral metal complexes have been successfully used as DNA luminescent probes and light-driven reactive agents during the last decades. A recent emerging trend to improve their potential as molecular tools for studies of the genetic material is the design of bifunctional assemblies where the photo-active metal centre is tethered through a flexible linker to a nucleic acid recognition or reactive moiety. In this view, new metal complexes have been designed that utilize or create open coordination positions for DNA binding and hydrolysis, generate reactive oxygen containing species or other radicals for DNA oxidation, or perform direct redox reactions with DNA. This review briefly covers the aspects of drug molecule interaction factors, modes of DNA binding via groove binders, intercalators and alkylators along with the cleavage patterns such as hydrolytic, oxidative and photoinduced DNA cleavage, taking an example of Cisplatin and its mechanism.","author":[{"dropping-particle":"","family":"R","given":"Sangeetha Gowda K","non-dropping-particle":"","parse-names":false,"suffix":""},{"dropping-particle":"","family":"Mathew","given":"Blessy Baby","non-dropping-particle":"","parse-names":false,"suffix":""},{"dropping-particle":"","family":"Sudhamani","given":"C N","non-dropping-particle":"","parse-names":false,"suffix":""},{"dropping-particle":"","family":"Naik","given":"H S Bhojya","non-dropping-particle":"","parse-names":false,"suffix":""}],"container-title":"Biomedicine and Biotechnology ","id":"ITEM-2","issue":"1","issued":{"date-parts":[["2013"]]},"page":"1-9","title":"Mechanism of DNA Binding and Cleavage. ","type":"article-journal","volume":"2"},"uris":["http://www.mendeley.com/documents/?uuid=69d482ee-b1b4-4dad-b72b-3325e452c919","http://www.mendeley.com/documents/?uuid=ac168326-eaef-46e1-907c-e557a6fe0761","http://www.mendeley.com/documents/?uuid=2bfa9295-3b63-41c2-a9f4-709d43cd4852"]}],"mendeley":{"formattedCitation":"&lt;sup&gt;8,10&lt;/sup&gt;","plainTextFormattedCitation":"8,10","previouslyFormattedCitation":"&lt;sup&gt;8,10&lt;/sup&gt;"},"properties":{"noteIndex":0},"schema":"https://github.com/citation-style-language/schema/raw/master/csl-citation.json"}</w:instrText>
      </w:r>
      <w:r w:rsidR="00DB7ADB">
        <w:fldChar w:fldCharType="separate"/>
      </w:r>
      <w:r w:rsidR="00DB7ADB" w:rsidRPr="00DB7ADB">
        <w:rPr>
          <w:noProof/>
          <w:vertAlign w:val="superscript"/>
        </w:rPr>
        <w:t>8,10</w:t>
      </w:r>
      <w:r w:rsidR="00DB7ADB">
        <w:fldChar w:fldCharType="end"/>
      </w:r>
    </w:p>
    <w:p w14:paraId="39F145A4" w14:textId="0BDD423F" w:rsidR="00AB1CE0" w:rsidRDefault="00AB1CE0" w:rsidP="00A76291">
      <w:pPr>
        <w:pStyle w:val="NormalWeb"/>
        <w:spacing w:line="360" w:lineRule="auto"/>
        <w:jc w:val="both"/>
      </w:pPr>
      <w:r>
        <w:t xml:space="preserve">Boja </w:t>
      </w:r>
      <w:r w:rsidRPr="004B10C7">
        <w:rPr>
          <w:b/>
        </w:rPr>
        <w:t>R9</w:t>
      </w:r>
      <w:r>
        <w:t xml:space="preserve"> je monometinska asimetrična dikationska cijaninska boja koja u vodenom puferu pokazuje maksimum apsorpcije pri 510 nm, uz molarni ekstinkcijski koeficijent od 55 540 L mol</w:t>
      </w:r>
      <w:r>
        <w:rPr>
          <w:rFonts w:ascii="Cambria Math" w:hAnsi="Cambria Math" w:cs="Cambria Math"/>
        </w:rPr>
        <w:t>⁻</w:t>
      </w:r>
      <w:r>
        <w:t>¹ cm</w:t>
      </w:r>
      <w:r>
        <w:rPr>
          <w:rFonts w:ascii="Cambria Math" w:hAnsi="Cambria Math" w:cs="Cambria Math"/>
        </w:rPr>
        <w:t>⁻</w:t>
      </w:r>
      <w:r>
        <w:t>¹. Titracijom boje s dsDNA</w:t>
      </w:r>
      <w:r w:rsidR="00E9599C">
        <w:t xml:space="preserve"> (engl. </w:t>
      </w:r>
      <w:r w:rsidR="00E9599C" w:rsidRPr="00E9599C">
        <w:rPr>
          <w:i/>
        </w:rPr>
        <w:t>double-stranded</w:t>
      </w:r>
      <w:r w:rsidR="00E9599C">
        <w:t>,</w:t>
      </w:r>
      <w:r w:rsidR="000518BA">
        <w:t xml:space="preserve"> ds,</w:t>
      </w:r>
      <w:r w:rsidR="00E9599C">
        <w:t xml:space="preserve"> dvolančana)</w:t>
      </w:r>
      <w:r>
        <w:t xml:space="preserve"> i </w:t>
      </w:r>
      <w:r w:rsidR="00123B44">
        <w:t>ds</w:t>
      </w:r>
      <w:r>
        <w:t>RNA u Tris-EDTA puferu dobiveni su apsorpcij</w:t>
      </w:r>
      <w:r w:rsidR="00A76291">
        <w:t>ski spektri prikazani na slici 4</w:t>
      </w:r>
      <w:r>
        <w:t>.</w:t>
      </w:r>
    </w:p>
    <w:p w14:paraId="028F1A8D" w14:textId="77777777" w:rsidR="00A76291" w:rsidRDefault="00A76291" w:rsidP="002928DE">
      <w:pPr>
        <w:spacing w:line="360" w:lineRule="auto"/>
        <w:jc w:val="center"/>
      </w:pPr>
      <w:r>
        <w:rPr>
          <w:noProof/>
          <w:lang w:val="hr-HR" w:eastAsia="hr-HR"/>
        </w:rPr>
        <w:lastRenderedPageBreak/>
        <w:drawing>
          <wp:inline distT="0" distB="0" distL="0" distR="0" wp14:anchorId="098B5D4F" wp14:editId="54E8CB93">
            <wp:extent cx="5437539" cy="2380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368" cy="2395864"/>
                    </a:xfrm>
                    <a:prstGeom prst="rect">
                      <a:avLst/>
                    </a:prstGeom>
                    <a:noFill/>
                    <a:ln>
                      <a:noFill/>
                    </a:ln>
                  </pic:spPr>
                </pic:pic>
              </a:graphicData>
            </a:graphic>
          </wp:inline>
        </w:drawing>
      </w:r>
    </w:p>
    <w:p w14:paraId="78096B15" w14:textId="468A9926" w:rsidR="00AB1CE0" w:rsidRDefault="00A76291" w:rsidP="00A76291">
      <w:pPr>
        <w:spacing w:line="360" w:lineRule="auto"/>
        <w:jc w:val="center"/>
      </w:pPr>
      <w:r>
        <w:t xml:space="preserve">Slika 4. UV/Vis titracija boje </w:t>
      </w:r>
      <w:r w:rsidRPr="005F66F8">
        <w:rPr>
          <w:b/>
          <w:bCs/>
        </w:rPr>
        <w:t>R9</w:t>
      </w:r>
      <w:r>
        <w:t xml:space="preserve"> s: a) dsDNA; b) </w:t>
      </w:r>
      <w:r w:rsidR="00123B44">
        <w:t>ds</w:t>
      </w:r>
      <w:r>
        <w:t>RNA u vodenom mediju.</w:t>
      </w:r>
      <w:r w:rsidR="00DB7ADB">
        <w:fldChar w:fldCharType="begin" w:fldLock="1"/>
      </w:r>
      <w:r w:rsidR="00DB7ADB">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DB7ADB">
        <w:fldChar w:fldCharType="separate"/>
      </w:r>
      <w:r w:rsidR="00DB7ADB" w:rsidRPr="00DB7ADB">
        <w:rPr>
          <w:noProof/>
          <w:vertAlign w:val="superscript"/>
        </w:rPr>
        <w:t>3</w:t>
      </w:r>
      <w:r w:rsidR="00DB7ADB">
        <w:fldChar w:fldCharType="end"/>
      </w:r>
    </w:p>
    <w:p w14:paraId="04437C74" w14:textId="77777777" w:rsidR="00A76291" w:rsidRDefault="00A76291" w:rsidP="00A76291">
      <w:pPr>
        <w:spacing w:line="360" w:lineRule="auto"/>
        <w:jc w:val="center"/>
      </w:pPr>
    </w:p>
    <w:p w14:paraId="6C8ECE28" w14:textId="6DE1780C" w:rsidR="00A76291" w:rsidRDefault="00A76291" w:rsidP="00A76291">
      <w:pPr>
        <w:spacing w:line="360" w:lineRule="auto"/>
        <w:jc w:val="both"/>
      </w:pPr>
      <w:r>
        <w:t xml:space="preserve">Prilikom UV/Vis titracije boje s DNA, dolazi do hipokromnog i batokromnog efekta na 518 nm, a molarni ekstincijski koeficijent smanjuje se za 25,4 %. Kompleks </w:t>
      </w:r>
      <w:r w:rsidRPr="004B10C7">
        <w:rPr>
          <w:b/>
        </w:rPr>
        <w:t>R9-RNA</w:t>
      </w:r>
      <w:r>
        <w:t xml:space="preserve"> apsorbira pri 514 nm i pokazuje isti trend, uz smanjenje molarnog ekstincijskog koeficijenta za 26,4 %. Povećanjem koncentracije nukleinske kiseline dolazi do zasićenja otopine i daljnji dodatak uzrokuje povećanje apsorpcije, osobito kod DNA. </w:t>
      </w:r>
    </w:p>
    <w:p w14:paraId="3611E180" w14:textId="39E5F0E1" w:rsidR="00A76291" w:rsidRDefault="00A76291" w:rsidP="00730651">
      <w:pPr>
        <w:pStyle w:val="NormalWeb"/>
        <w:spacing w:line="360" w:lineRule="auto"/>
        <w:jc w:val="both"/>
      </w:pPr>
      <w:r>
        <w:t xml:space="preserve">U vodenoj otopini pufera boja </w:t>
      </w:r>
      <w:r w:rsidRPr="005F66F8">
        <w:rPr>
          <w:b/>
          <w:bCs/>
        </w:rPr>
        <w:t>R9</w:t>
      </w:r>
      <w:r>
        <w:t xml:space="preserve"> pokazuje vrlo slabu intrinzičnu fluorescenciju. Nakon vezanja na biomolekulu dolazi do povećanja rigidnosti molekule, što ograničava rotaciju polimetinskog mosta i smanjuje neradijativne procese relaksacije. Posljedica toga je značajno povećanje fluorescencijskog intenziteta. Kompleksi s DNA i RNA pokazuju maksimum emisije pri 541 nm, pri čemu je povećanje intenziteta izraženije u slučaju RNA (Slika 5).</w:t>
      </w:r>
    </w:p>
    <w:p w14:paraId="63F977C6" w14:textId="77777777" w:rsidR="005A4628" w:rsidRDefault="005A4628" w:rsidP="002928DE">
      <w:pPr>
        <w:spacing w:line="360" w:lineRule="auto"/>
        <w:jc w:val="center"/>
      </w:pPr>
      <w:r>
        <w:rPr>
          <w:noProof/>
          <w:lang w:val="hr-HR" w:eastAsia="hr-HR"/>
        </w:rPr>
        <w:drawing>
          <wp:inline distT="0" distB="0" distL="0" distR="0" wp14:anchorId="42586618" wp14:editId="3B3BB382">
            <wp:extent cx="575310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322" cy="2346091"/>
                    </a:xfrm>
                    <a:prstGeom prst="rect">
                      <a:avLst/>
                    </a:prstGeom>
                    <a:noFill/>
                    <a:ln>
                      <a:noFill/>
                    </a:ln>
                  </pic:spPr>
                </pic:pic>
              </a:graphicData>
            </a:graphic>
          </wp:inline>
        </w:drawing>
      </w:r>
    </w:p>
    <w:p w14:paraId="7474DD3D" w14:textId="54B6150D" w:rsidR="005A4628" w:rsidRDefault="005A4628" w:rsidP="005A4628">
      <w:pPr>
        <w:spacing w:line="360" w:lineRule="auto"/>
        <w:jc w:val="center"/>
      </w:pPr>
      <w:r>
        <w:lastRenderedPageBreak/>
        <w:t xml:space="preserve">Slika 5. Fluorescencijska titracija boje </w:t>
      </w:r>
      <w:r w:rsidRPr="005F66F8">
        <w:rPr>
          <w:b/>
          <w:bCs/>
        </w:rPr>
        <w:t>R9</w:t>
      </w:r>
      <w:r>
        <w:t xml:space="preserve"> s: a) dsDNA; b) </w:t>
      </w:r>
      <w:r w:rsidR="00123B44">
        <w:t>ds</w:t>
      </w:r>
      <w:r>
        <w:t>RNA u vodenom mediju.</w:t>
      </w:r>
      <w:r w:rsidR="00DB7ADB">
        <w:fldChar w:fldCharType="begin" w:fldLock="1"/>
      </w:r>
      <w:r w:rsidR="00476083">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DB7ADB">
        <w:fldChar w:fldCharType="separate"/>
      </w:r>
      <w:r w:rsidR="00DB7ADB" w:rsidRPr="00DB7ADB">
        <w:rPr>
          <w:noProof/>
          <w:vertAlign w:val="superscript"/>
        </w:rPr>
        <w:t>3</w:t>
      </w:r>
      <w:r w:rsidR="00DB7ADB">
        <w:fldChar w:fldCharType="end"/>
      </w:r>
    </w:p>
    <w:p w14:paraId="46CF09F1" w14:textId="015C90D6" w:rsidR="00AB1CE0" w:rsidRDefault="00AB1CE0" w:rsidP="002928DE">
      <w:pPr>
        <w:pStyle w:val="NormalWeb"/>
        <w:spacing w:line="360" w:lineRule="auto"/>
        <w:jc w:val="both"/>
      </w:pPr>
      <w:r>
        <w:t xml:space="preserve">Općenito, molekule koje se vežu u mali utor polinukleotida pokazuju mali batokromni pomak ili ga uopće nema, jer je kontakt između π-elektronskih sustava molekule i </w:t>
      </w:r>
      <w:r w:rsidR="00123B44">
        <w:t>parova baza</w:t>
      </w:r>
      <w:r>
        <w:t xml:space="preserve"> ograničen. Takvi pomaci obično su manji od 8 nm. Nasuprot tome, interkalacija planarne molekule između parova baza dovodi do izraženog batokromnog i hipokromnog efekta. Batokromni pomak posljedica je smanjenja energije π → π* prijelaza zbog interakcije π-orbitala parova</w:t>
      </w:r>
      <w:r w:rsidR="00123B44">
        <w:t xml:space="preserve"> baza</w:t>
      </w:r>
      <w:r>
        <w:t xml:space="preserve"> nukleinske kiseline s praznim π* orbitalama liganda, što uzrokuje pomak apsorpcije u crveni dio spektra za najmanje 15 nm. Hipokromni efekt</w:t>
      </w:r>
      <w:r w:rsidR="007C5444">
        <w:t xml:space="preserve"> u tom slučaju često prelazi 35</w:t>
      </w:r>
      <w:r>
        <w:t>%.</w:t>
      </w:r>
      <w:r w:rsidR="007C5444">
        <w:t xml:space="preserve"> </w:t>
      </w:r>
      <w:r>
        <w:t xml:space="preserve">U slučaju boje </w:t>
      </w:r>
      <w:r w:rsidRPr="005F66F8">
        <w:rPr>
          <w:b/>
          <w:bCs/>
        </w:rPr>
        <w:t>R9</w:t>
      </w:r>
      <w:r>
        <w:t>, uočene spektroskopske promjene upućuju na vezanje u mali utor polinukleotida. Naknadni hiperkromni efekt nakon zasićenja može se pripisati dodatnim elektrostatskim interakcijama između dikationske boje i negativno nabijene fosfatne okosnice, osobito u slučaju dsDNA.</w:t>
      </w:r>
      <w:r w:rsidR="00476083">
        <w:fldChar w:fldCharType="begin" w:fldLock="1"/>
      </w:r>
      <w:r w:rsidR="00476083">
        <w:instrText>ADDIN CSL_CITATION {"citationItems":[{"id":"ITEM-1","itemData":{"DOI":"10.3390/bios15030187","ISSN":"20796374","PMID":"40136984","abstract":"Two new asymmetric monomethine cyanine dyes, featuring dimethoxy quinolinium or methyl quinolinium end groups and benzothiazole or methyl benzothiazole end groups were synthesized. The chemical structures of the two dyes—(E)-6,7-dimethoxy-1-methyl-4-((3-methylbenzo[d]thiazol-2(3H)-ylidene)methyl)quinolin-1-ium iodide (3a) and (E)-4-((3,5-dimethylbenzo[d]thiazol-2(3H)-ylidene)methyl)-1,2-dimethylquinolin-1-ium iodide (3b)—were confirmed through NMR spectroscopy and MALDI-TOF mass spectrometry. A new methodology was developed to study monocationic dyes in the absence of a matrix and cationizing compounds in MALDI-TOF mass experiments. The newly synthesized dyes contain hydrophobic functional groups attached to the chromophore, enhancing their affinity for the hydrophobic regions of nucleic acids within the biological matrix. The dyes’ photophysical properties were investigated in aqueous solutions and DMSO, as well as in the presence of nucleic acids. The dyes exhibit notable aggregachromism in both pure aqueous and buffered solutions. The observed aggregation phenomena were further elucidated using computational methods. Fluorescence titration experiments revealed that upon contact with nucleic acids, the dyes exhibit bioaggregachromism–aggregachromism on the surfaces of the respective biomolecular matrix (RNA or DNA). This bioaggregachromism was further confirmed by CD spectroscopy. Given the pronounced aggregachromism detected, we conclude that the dyes investigated in this study are highly suitable for use as fluorogenic probes in biomolecular recognition techniques. The unique absorption and fluorescence spectra of these dyes make them promising fluorogenic markers for various bioanalytical methods related to biomolecular recognition.","author":[{"dropping-particle":"","family":"Ilieva","given":"Sonia","non-dropping-particle":"","parse-names":false,"suffix":""},{"dropping-particle":"","family":"Petkov","given":"Nikolay","non-dropping-particle":"","parse-names":false,"suffix":""},{"dropping-particle":"","family":"Gargallo","given":"Raimundo","non-dropping-particle":"","parse-names":false,"suffix":""},{"dropping-particle":"","family":"Novakov","given":"Christo","non-dropping-particle":"","parse-names":false,"suffix":""},{"dropping-particle":"","family":"Rangelov","given":"Miroslav","non-dropping-particle":"","parse-names":false,"suffix":""},{"dropping-particle":"","family":"Todorova","given":"Nadezhda","non-dropping-particle":"","parse-names":false,"suffix":""},{"dropping-particle":"","family":"Vasilev","given":"Aleksey","non-dropping-particle":"","parse-names":false,"suffix":""},{"dropping-particle":"","family":"Cheshmedzhieva","given":"Diana","non-dropping-particle":"","parse-names":false,"suffix":""}],"container-title":"Biosensors","id":"ITEM-1","issue":"3","issued":{"date-parts":[["2025"]]},"title":"Bioaggregachromism of Asymmetric Monomethine Cyanine Dyes as Noncovalent Binders for Nucleic Acids","type":"article-journal","volume":"15"},"uris":["http://www.mendeley.com/documents/?uuid=cd109dd0-83cb-4eca-b3d1-2e4dcab7bfb9"]},{"id":"ITEM-2","itemData":{"DOI":"10.3390/biom13010128","ISSN":"2218273X","abstract":"The binding interactions of six ligands, neutral and monocationic asymmetric monomethine cyanine dyes comprising benzoselenazolyl moiety with duplex DNA and RNA and G-quadruplex structures were evaluated using fluorescence, UV/Vis (thermal melting) and circular dichroism (CD) spectroscopy. The main objective was to assess the impact of different substituents (methyl vs. sulfopropyl vs. thiopropyl/thioethyl) on the nitrogen atom of the benzothiazolyl chromophore on various nucleic acid structures. The monomethine cyanine dyes with methyl substituents showed a 100-fold selectivity for G-quadruplex versus duplex DNA. Study results indicate that cyanines bind with G-quadruplex via end π-π stacking interactions and possible additional interactions with nucleobases/phosphate backbone of grooves or loop bases. Cyanine with thioethyl substituent distinguishes duplex DNA and RNA and G-quadruplex structures by distinctly varying ICD signals. Furthermore, cell viability assay reveals the submicromolar activity of cyanines with methyl substituents against all tested human cancer cell lines. Confocal microscopy analysis shows preferential accumulation of cyanines with sulfopropyl and thioethyl substituents in mitochondria and indicates localization of cyanines with methyl in nucleus, particularly nucleolus. This confirms the potential of examined cyanines as theranostic agents, possessing both fluorescent properties and cell viability inhibitory effect.","author":[{"dropping-particle":"","family":"Fabijanić","given":"Ivana","non-dropping-particle":"","parse-names":false,"suffix":""},{"dropping-particle":"","family":"Kurutos","given":"Atanas","non-dropping-particle":"","parse-names":false,"suffix":""},{"dropping-particle":"","family":"Tomašić Paić","given":"Ana","non-dropping-particle":"","parse-names":false,"suffix":""},{"dropping-particle":"","family":"Tadić","given":"Vanja","non-dropping-particle":"","parse-names":false,"suffix":""},{"dropping-particle":"","family":"Kamounah","given":"Fadhil S.","non-dropping-particle":"","parse-names":false,"suffix":""},{"dropping-particle":"","family":"Horvat","given":"Lucija","non-dropping-particle":"","parse-names":false,"suffix":""},{"dropping-particle":"","family":"Brozovic","given":"Anamaria","non-dropping-particle":"","parse-names":false,"suffix":""},{"dropping-particle":"","family":"Crnolatac","given":"Ivo","non-dropping-particle":"","parse-names":false,"suffix":""},{"dropping-particle":"","family":"Radić Stojković","given":"Marijana","non-dropping-particle":"","parse-names":false,"suffix":""}],"container-title":"Biomolecules","id":"ITEM-2","issue":"1","issued":{"date-parts":[["2023"]]},"title":"Selenium-Substituted Monomethine Cyanine Dyes as Selective G-Quadruplex Spectroscopic Probes with Theranostic Potential","type":"article-journal","volume":"13"},"uris":["http://www.mendeley.com/documents/?uuid=4b4b4bb1-8c80-4a32-bd1a-95be0c044092"]}],"mendeley":{"formattedCitation":"&lt;sup&gt;2,12&lt;/sup&gt;","plainTextFormattedCitation":"2,12","previouslyFormattedCitation":"&lt;sup&gt;2,12&lt;/sup&gt;"},"properties":{"noteIndex":0},"schema":"https://github.com/citation-style-language/schema/raw/master/csl-citation.json"}</w:instrText>
      </w:r>
      <w:r w:rsidR="00476083">
        <w:fldChar w:fldCharType="separate"/>
      </w:r>
      <w:r w:rsidR="00476083" w:rsidRPr="00476083">
        <w:rPr>
          <w:noProof/>
          <w:vertAlign w:val="superscript"/>
        </w:rPr>
        <w:t>2,12</w:t>
      </w:r>
      <w:r w:rsidR="00476083">
        <w:fldChar w:fldCharType="end"/>
      </w:r>
    </w:p>
    <w:p w14:paraId="6F96B6F5" w14:textId="77777777" w:rsidR="002928DE" w:rsidRPr="00AB1CE0" w:rsidRDefault="002928DE" w:rsidP="00AB1CE0"/>
    <w:p w14:paraId="361E60DE" w14:textId="7611BEF3" w:rsidR="00730651" w:rsidRPr="00730651" w:rsidRDefault="002B6429" w:rsidP="00730651">
      <w:pPr>
        <w:pStyle w:val="OCJENSKIRADOVI3Podpodnaslovpoglavlja"/>
        <w:outlineLvl w:val="2"/>
        <w:rPr>
          <w:lang w:val="en-US"/>
        </w:rPr>
      </w:pPr>
      <w:bookmarkStart w:id="11" w:name="_Toc225421352"/>
      <w:r>
        <w:rPr>
          <w:lang w:val="en-US"/>
        </w:rPr>
        <w:t>CD spektroskopija</w:t>
      </w:r>
      <w:bookmarkEnd w:id="11"/>
    </w:p>
    <w:p w14:paraId="0BB62829" w14:textId="572D03C2" w:rsidR="00730651" w:rsidRDefault="000610BC" w:rsidP="00730651">
      <w:pPr>
        <w:spacing w:line="360" w:lineRule="auto"/>
        <w:jc w:val="both"/>
        <w:rPr>
          <w:iCs/>
        </w:rPr>
      </w:pPr>
      <w:r>
        <w:rPr>
          <w:iCs/>
        </w:rPr>
        <w:t>Spektroskopija cirkularnog dikroizma (CD) je tehnika osjetljiva na promjene u konformaciji polinukleotida uzrokovane kompleksiranjem s malim molekulama. Većina</w:t>
      </w:r>
      <w:r w:rsidR="00730651">
        <w:rPr>
          <w:iCs/>
        </w:rPr>
        <w:t xml:space="preserve"> fluorescentnih boja je akiralna</w:t>
      </w:r>
      <w:r>
        <w:rPr>
          <w:iCs/>
        </w:rPr>
        <w:t xml:space="preserve">, ali vezanjem na </w:t>
      </w:r>
      <w:r w:rsidR="00730651">
        <w:rPr>
          <w:iCs/>
        </w:rPr>
        <w:t xml:space="preserve">kiralnu </w:t>
      </w:r>
      <w:r>
        <w:rPr>
          <w:iCs/>
        </w:rPr>
        <w:t xml:space="preserve">biomolekulu nastaje inducirani CD signal (ICD) u području </w:t>
      </w:r>
      <w:r w:rsidR="00730651">
        <w:rPr>
          <w:iCs/>
        </w:rPr>
        <w:t>apsorpcije</w:t>
      </w:r>
      <w:r>
        <w:rPr>
          <w:iCs/>
        </w:rPr>
        <w:t xml:space="preserve"> boje. CD spektar B-DNA je karakterističan po negativnim i pozitivnim signalima oko 250 </w:t>
      </w:r>
      <w:r w:rsidR="004C750A">
        <w:rPr>
          <w:iCs/>
        </w:rPr>
        <w:t xml:space="preserve">odnosno </w:t>
      </w:r>
      <w:r>
        <w:rPr>
          <w:iCs/>
        </w:rPr>
        <w:t xml:space="preserve">275 nm, dok spektar </w:t>
      </w:r>
      <w:r w:rsidR="00BF5EAC">
        <w:rPr>
          <w:iCs/>
        </w:rPr>
        <w:t>R</w:t>
      </w:r>
      <w:r>
        <w:rPr>
          <w:iCs/>
        </w:rPr>
        <w:t xml:space="preserve">NA pokazuje pozitivan signal oko 275 nm. Dodatkom </w:t>
      </w:r>
      <w:r w:rsidRPr="005F66F8">
        <w:rPr>
          <w:b/>
          <w:bCs/>
          <w:iCs/>
        </w:rPr>
        <w:t xml:space="preserve">R9 </w:t>
      </w:r>
      <w:r>
        <w:rPr>
          <w:iCs/>
        </w:rPr>
        <w:t>boje smanjuju</w:t>
      </w:r>
      <w:r w:rsidR="00730651">
        <w:rPr>
          <w:iCs/>
        </w:rPr>
        <w:t xml:space="preserve"> se intenziteti karakterističnih CD signala </w:t>
      </w:r>
      <w:r>
        <w:rPr>
          <w:iCs/>
        </w:rPr>
        <w:t xml:space="preserve">dsDNA i </w:t>
      </w:r>
      <w:r w:rsidR="004C750A">
        <w:rPr>
          <w:iCs/>
        </w:rPr>
        <w:t>ds</w:t>
      </w:r>
      <w:r>
        <w:rPr>
          <w:iCs/>
        </w:rPr>
        <w:t xml:space="preserve">RNA. </w:t>
      </w:r>
      <w:r w:rsidR="00730651">
        <w:rPr>
          <w:iCs/>
        </w:rPr>
        <w:t xml:space="preserve">Takvo smanjenje </w:t>
      </w:r>
      <w:r>
        <w:rPr>
          <w:iCs/>
        </w:rPr>
        <w:t xml:space="preserve">je </w:t>
      </w:r>
      <w:r w:rsidR="00251CAF">
        <w:rPr>
          <w:iCs/>
        </w:rPr>
        <w:t>indikator</w:t>
      </w:r>
      <w:r>
        <w:rPr>
          <w:iCs/>
        </w:rPr>
        <w:t xml:space="preserve"> da dolazi do promjene u helikalnoj kiralnosti zbog interkalacije ili vezanja velikih skupina u utore i kao posljedica deformira se dvostruka uzvojnica. </w:t>
      </w:r>
      <w:r w:rsidR="00476083">
        <w:rPr>
          <w:iCs/>
        </w:rPr>
        <w:fldChar w:fldCharType="begin" w:fldLock="1"/>
      </w:r>
      <w:r w:rsidR="00AD2B02">
        <w:rPr>
          <w:iCs/>
        </w:rPr>
        <w:instrText>ADDIN CSL_CITATION {"citationItems":[{"id":"ITEM-1","itemData":{"DOI":"10.3762/bjoc.14.5","ISSN":"18605397","abstract":"The structural characterization of non-covalent complexes between nucleic acids and small molecules (ligands) is of a paramount significance to bioorganic research. Highly informative methods about nucleic acid/ligand complexes such as single crystal X-ray diffraction or NMR spectroscopy cannot be performed under biologically compatible conditions and are extensively time consuming. Therefore, in search for faster methods which can be applied to conditions that are at least similar to the naturally occurring ones, a set of polarization spectroscopy methods has shown highly promising results. Electronic circular dichroism (ECD) is the most commonly used method for the characterization of the helical structure of DNA and RNA and their complexes with ligands. Less common but complementary to ECD, is flow-oriented linear dichroism (LD). Other methods such as vibrational CD (VCD) and emission-based methods (FDCD, CPL), can also be used for suitable samples. Despite the popularity of polarization spectroscopy in biophysics, aside several highly focused reviews on the application of these methods to DNA/RNA research, there is no systematic tutorial covering all mentioned methods as a tool for the characterization of adducts between nucleic acids and small ligands. This tutorial aims to help researchers entering the research field to organize experiments accurately and to interpret the obtained data reliably.","author":[{"dropping-particle":"","family":"Šmidlehner","given":"Tamara","non-dropping-particle":"","parse-names":false,"suffix":""},{"dropping-particle":"","family":"Piantanida","given":"Ivo","non-dropping-particle":"","parse-names":false,"suffix":""},{"dropping-particle":"","family":"Pescitelli","given":"Gennaro","non-dropping-particle":"","parse-names":false,"suffix":""}],"container-title":"Beilstein Journal of Organic Chemistry","id":"ITEM-1","issued":{"date-parts":[["2017"]]},"page":"84-105","title":"Polarization spectroscopy methods in the determination of interactions of small molecules with nucleic acids - Tutorial","type":"article-journal","volume":"14"},"uris":["http://www.mendeley.com/documents/?uuid=ff60b9a4-a38c-4ba2-84b0-f5100ce3494e"]},{"id":"ITEM-2","itemData":{"DOI":"10.1016/S0076-6879(01)40418-6","author":[{"dropping-particle":"","family":"Eriksson","given":"Magdalena","non-dropping-particle":"","parse-names":false,"suffix":""},{"dropping-particle":"","family":"Nordén","given":"Bengt","non-dropping-particle":"","parse-names":false,"suffix":""}],"container-title":"Methods in Enzymology","id":"ITEM-2","issued":{"date-parts":[["2001"]]},"page":"68-98","title":"Linear and circular dichroism of drug-nucleic acid complexes","type":"chapter","volume":"340"},"uris":["http://www.mendeley.com/documents/?uuid=40e95ea6-bf4f-45eb-94c0-6db3f225f825"]}],"mendeley":{"formattedCitation":"&lt;sup&gt;13,14&lt;/sup&gt;","plainTextFormattedCitation":"13,14","previouslyFormattedCitation":"&lt;sup&gt;13,14&lt;/sup&gt;"},"properties":{"noteIndex":0},"schema":"https://github.com/citation-style-language/schema/raw/master/csl-citation.json"}</w:instrText>
      </w:r>
      <w:r w:rsidR="00476083">
        <w:rPr>
          <w:iCs/>
        </w:rPr>
        <w:fldChar w:fldCharType="separate"/>
      </w:r>
      <w:r w:rsidR="00476083" w:rsidRPr="00476083">
        <w:rPr>
          <w:iCs/>
          <w:noProof/>
          <w:vertAlign w:val="superscript"/>
        </w:rPr>
        <w:t>13,14</w:t>
      </w:r>
      <w:r w:rsidR="00476083">
        <w:rPr>
          <w:iCs/>
        </w:rPr>
        <w:fldChar w:fldCharType="end"/>
      </w:r>
    </w:p>
    <w:p w14:paraId="7D4B086F" w14:textId="375E285E" w:rsidR="008D18B7" w:rsidRDefault="000610BC" w:rsidP="00730651">
      <w:pPr>
        <w:spacing w:line="360" w:lineRule="auto"/>
        <w:ind w:firstLine="720"/>
        <w:jc w:val="both"/>
        <w:rPr>
          <w:iCs/>
        </w:rPr>
      </w:pPr>
      <w:r>
        <w:rPr>
          <w:iCs/>
        </w:rPr>
        <w:t>Spektar pokazuje da je nastao negativan i pozitivan ICD signal na 484 nm i 520 nm</w:t>
      </w:r>
      <w:r w:rsidR="00730651">
        <w:rPr>
          <w:iCs/>
        </w:rPr>
        <w:t xml:space="preserve"> (Slika 6). Takav bisignatni oblik CD signala</w:t>
      </w:r>
      <w:r>
        <w:rPr>
          <w:iCs/>
        </w:rPr>
        <w:t>,</w:t>
      </w:r>
      <w:r w:rsidR="00730651">
        <w:rPr>
          <w:iCs/>
        </w:rPr>
        <w:t xml:space="preserve"> koji se sastoji od negativnog i pozitivnog signala oko apsorpcijskog maksimuma liganda, upućuje na vezanje molekule </w:t>
      </w:r>
      <w:r w:rsidR="00730651">
        <w:t xml:space="preserve">u utor polinukleotida ili na površinu polinukleotida (engl. </w:t>
      </w:r>
      <w:r w:rsidR="00730651" w:rsidRPr="00730651">
        <w:rPr>
          <w:i/>
        </w:rPr>
        <w:t>stacking</w:t>
      </w:r>
      <w:r w:rsidR="00730651">
        <w:t>), dok nije tipična za klasične interkalatore</w:t>
      </w:r>
      <w:r w:rsidR="00730651">
        <w:rPr>
          <w:iCs/>
        </w:rPr>
        <w:t>.</w:t>
      </w:r>
      <w:r>
        <w:rPr>
          <w:iCs/>
        </w:rPr>
        <w:t xml:space="preserve"> </w:t>
      </w:r>
      <w:r w:rsidR="006A04B9">
        <w:rPr>
          <w:iCs/>
        </w:rPr>
        <w:t xml:space="preserve">Uz </w:t>
      </w:r>
      <w:r>
        <w:rPr>
          <w:iCs/>
        </w:rPr>
        <w:t xml:space="preserve">UV/Vis i fluorescencijski spektar, može se zaključiti </w:t>
      </w:r>
      <w:r w:rsidR="00730651">
        <w:t xml:space="preserve">da se boja </w:t>
      </w:r>
      <w:r w:rsidR="00730651" w:rsidRPr="005F66F8">
        <w:rPr>
          <w:b/>
          <w:bCs/>
        </w:rPr>
        <w:t>R9</w:t>
      </w:r>
      <w:r w:rsidR="00730651">
        <w:t xml:space="preserve"> veže u mali utor polinukleotida</w:t>
      </w:r>
      <w:r>
        <w:rPr>
          <w:iCs/>
        </w:rPr>
        <w:t xml:space="preserve">. Negativan ICD signal pri manjoj valnoj duljini i pozitivan pri većoj je karakterističan za kromofore koji su </w:t>
      </w:r>
      <w:r w:rsidR="00BF025F">
        <w:rPr>
          <w:iCs/>
        </w:rPr>
        <w:t xml:space="preserve">desno orijentirani </w:t>
      </w:r>
      <w:r>
        <w:rPr>
          <w:iCs/>
        </w:rPr>
        <w:t>i vežu se na B-DNA</w:t>
      </w:r>
      <w:r w:rsidR="00BF025F">
        <w:rPr>
          <w:iCs/>
        </w:rPr>
        <w:t>.</w:t>
      </w:r>
      <w:r>
        <w:rPr>
          <w:iCs/>
        </w:rPr>
        <w:t xml:space="preserve"> </w:t>
      </w:r>
      <w:r w:rsidR="00035E42">
        <w:rPr>
          <w:iCs/>
        </w:rPr>
        <w:t>S</w:t>
      </w:r>
      <w:r>
        <w:rPr>
          <w:iCs/>
        </w:rPr>
        <w:t xml:space="preserve">uprotna orijentacija </w:t>
      </w:r>
      <w:r w:rsidR="00035E42">
        <w:rPr>
          <w:iCs/>
        </w:rPr>
        <w:t xml:space="preserve">kromofora primijećena je kod interakcije </w:t>
      </w:r>
      <w:r w:rsidRPr="005F66F8">
        <w:rPr>
          <w:b/>
          <w:bCs/>
          <w:iCs/>
        </w:rPr>
        <w:t>R9</w:t>
      </w:r>
      <w:r>
        <w:rPr>
          <w:iCs/>
        </w:rPr>
        <w:t xml:space="preserve"> s RNA, </w:t>
      </w:r>
      <w:r w:rsidR="003B4ECA">
        <w:rPr>
          <w:iCs/>
        </w:rPr>
        <w:t>vjerojatno zato što</w:t>
      </w:r>
      <w:r>
        <w:rPr>
          <w:iCs/>
        </w:rPr>
        <w:t xml:space="preserve"> je veliki utor RNA uži i dublji od B-DN</w:t>
      </w:r>
      <w:r w:rsidR="00730651">
        <w:rPr>
          <w:iCs/>
        </w:rPr>
        <w:t>A dok je mali utor plići i širi.</w:t>
      </w:r>
    </w:p>
    <w:p w14:paraId="5ECCBCD5" w14:textId="77777777" w:rsidR="008D18B7" w:rsidRDefault="008D18B7" w:rsidP="008D18B7">
      <w:pPr>
        <w:spacing w:line="360" w:lineRule="auto"/>
        <w:jc w:val="center"/>
        <w:rPr>
          <w:noProof/>
          <w:lang w:val="hr-HR" w:eastAsia="hr-HR"/>
        </w:rPr>
      </w:pPr>
    </w:p>
    <w:p w14:paraId="519ECFDC" w14:textId="428F90D2" w:rsidR="008D18B7" w:rsidRDefault="008D18B7" w:rsidP="008D18B7">
      <w:pPr>
        <w:spacing w:line="360" w:lineRule="auto"/>
        <w:jc w:val="center"/>
        <w:rPr>
          <w:iCs/>
        </w:rPr>
      </w:pPr>
      <w:r>
        <w:rPr>
          <w:noProof/>
          <w:lang w:val="hr-HR" w:eastAsia="hr-HR"/>
        </w:rPr>
        <w:drawing>
          <wp:inline distT="0" distB="0" distL="0" distR="0" wp14:anchorId="780475FF" wp14:editId="6556ACD5">
            <wp:extent cx="5648325" cy="205081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3641" r="3183"/>
                    <a:stretch/>
                  </pic:blipFill>
                  <pic:spPr bwMode="auto">
                    <a:xfrm>
                      <a:off x="0" y="0"/>
                      <a:ext cx="5676139" cy="2060913"/>
                    </a:xfrm>
                    <a:prstGeom prst="rect">
                      <a:avLst/>
                    </a:prstGeom>
                    <a:noFill/>
                    <a:ln>
                      <a:noFill/>
                    </a:ln>
                    <a:extLst>
                      <a:ext uri="{53640926-AAD7-44D8-BBD7-CCE9431645EC}">
                        <a14:shadowObscured xmlns:a14="http://schemas.microsoft.com/office/drawing/2010/main"/>
                      </a:ext>
                    </a:extLst>
                  </pic:spPr>
                </pic:pic>
              </a:graphicData>
            </a:graphic>
          </wp:inline>
        </w:drawing>
      </w:r>
    </w:p>
    <w:p w14:paraId="18B3A3EE" w14:textId="255B2DEB" w:rsidR="008D18B7" w:rsidRPr="008D18B7" w:rsidRDefault="00730651" w:rsidP="008D18B7">
      <w:pPr>
        <w:spacing w:line="360" w:lineRule="auto"/>
        <w:jc w:val="center"/>
        <w:rPr>
          <w:iCs/>
        </w:rPr>
      </w:pPr>
      <w:r>
        <w:rPr>
          <w:iCs/>
        </w:rPr>
        <w:t>Slika 6</w:t>
      </w:r>
      <w:r w:rsidR="008D18B7">
        <w:rPr>
          <w:iCs/>
        </w:rPr>
        <w:t xml:space="preserve">. CD spektri: a) DNA i b) RNA prilikom titracije bojom </w:t>
      </w:r>
      <w:r w:rsidR="008D18B7" w:rsidRPr="005F66F8">
        <w:rPr>
          <w:b/>
          <w:bCs/>
          <w:iCs/>
        </w:rPr>
        <w:t>R9</w:t>
      </w:r>
      <w:r w:rsidR="008D18B7">
        <w:rPr>
          <w:iCs/>
        </w:rPr>
        <w:t xml:space="preserve">, pri čemu je </w:t>
      </w:r>
      <w:r w:rsidR="008D18B7" w:rsidRPr="008D18B7">
        <w:rPr>
          <w:i/>
          <w:iCs/>
        </w:rPr>
        <w:t>r</w:t>
      </w:r>
      <w:r w:rsidR="008D18B7">
        <w:rPr>
          <w:iCs/>
        </w:rPr>
        <w:t xml:space="preserve"> = [spoj] / [polinukleotid].</w:t>
      </w:r>
      <w:r w:rsidR="00476083">
        <w:rPr>
          <w:iCs/>
        </w:rPr>
        <w:fldChar w:fldCharType="begin" w:fldLock="1"/>
      </w:r>
      <w:r w:rsidR="00476083">
        <w:rPr>
          <w:iCs/>
        </w:rPr>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476083">
        <w:rPr>
          <w:iCs/>
        </w:rPr>
        <w:fldChar w:fldCharType="separate"/>
      </w:r>
      <w:r w:rsidR="00476083" w:rsidRPr="00476083">
        <w:rPr>
          <w:iCs/>
          <w:noProof/>
          <w:vertAlign w:val="superscript"/>
        </w:rPr>
        <w:t>3</w:t>
      </w:r>
      <w:r w:rsidR="00476083">
        <w:rPr>
          <w:iCs/>
        </w:rPr>
        <w:fldChar w:fldCharType="end"/>
      </w:r>
    </w:p>
    <w:p w14:paraId="030E3A0B" w14:textId="44E36128" w:rsidR="002B6429" w:rsidRDefault="000610BC" w:rsidP="002B6429">
      <w:pPr>
        <w:pStyle w:val="OCJENSKIRADOVI3Podpodnaslovpoglavlja"/>
        <w:outlineLvl w:val="2"/>
        <w:rPr>
          <w:lang w:val="en-US"/>
        </w:rPr>
      </w:pPr>
      <w:bookmarkStart w:id="12" w:name="_Toc225421353"/>
      <w:r>
        <w:rPr>
          <w:lang w:val="en-US"/>
        </w:rPr>
        <w:t>DFT proračuni</w:t>
      </w:r>
      <w:bookmarkEnd w:id="12"/>
    </w:p>
    <w:p w14:paraId="3B5BAEEE" w14:textId="5B9F86A1" w:rsidR="002928DE" w:rsidRDefault="002928DE" w:rsidP="002928DE">
      <w:pPr>
        <w:spacing w:line="360" w:lineRule="auto"/>
        <w:jc w:val="both"/>
      </w:pPr>
      <w:r>
        <w:t xml:space="preserve">Za dodatno razumijevanje elektronske strukture i fotofizikalnih svojstava cijaninske boje provedeni su kvantno-kemijski proračuni primjenom teorije funkcionala gustoće (DFT). Optimizacija geometrije molekule provedena je u osnovnom stanju, čime je dobivena energetski najstabilnija konformacija. Analizirane su najviše popunjene i najniže nepopunjene molekulske orbitale (HOMO i LUMO) kako bi se utvrdila raspodjela elektronske gustoće i tip elektronskog prijelaza. Rezultati su pokazali da je prijelaz odgovoran za apsorpciju svjetlosti dominantno intramolekularnog karaktera, uz djelomičnu delokalizaciju elektrona preko aromatskog sustava. Izračuni pobuđenih stanja (TDDFT) omogućili su predviđanje apsorpcijskog maksimuma, koji je bio u dobrom slaganju s eksperimentalno dobivenim vrijednostima. Analiza raspodjele naboja </w:t>
      </w:r>
      <w:r w:rsidR="00A23075">
        <w:t>pokazala je</w:t>
      </w:r>
      <w:r>
        <w:t xml:space="preserve"> izraženu lokalizaciju pozitivnog naboja na heterocikličkim dijelovima molekule, što može imati značajnu ulogu u elektrostatskoj interakciji s negativno nabijenom fosfatnom okosnicom polinukleotida.</w:t>
      </w:r>
      <w:r w:rsidR="00E37EB5">
        <w:fldChar w:fldCharType="begin" w:fldLock="1"/>
      </w:r>
      <w:r w:rsidR="00AD2B02">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E37EB5">
        <w:fldChar w:fldCharType="separate"/>
      </w:r>
      <w:r w:rsidR="00E37EB5" w:rsidRPr="00E37EB5">
        <w:rPr>
          <w:noProof/>
          <w:vertAlign w:val="superscript"/>
        </w:rPr>
        <w:t>3</w:t>
      </w:r>
      <w:r w:rsidR="00E37EB5">
        <w:fldChar w:fldCharType="end"/>
      </w:r>
      <w:r>
        <w:t xml:space="preserve"> Dobiveni teorijski rezultati podupiru eksperimentalne podatke te doprinose boljem razumijevanju mehanizma vezanja boje na nukleinske kiseline.</w:t>
      </w:r>
    </w:p>
    <w:p w14:paraId="233EBF55" w14:textId="77777777" w:rsidR="002928DE" w:rsidRPr="002928DE" w:rsidRDefault="002928DE" w:rsidP="002928DE"/>
    <w:p w14:paraId="63DF4ACA" w14:textId="621712F8" w:rsidR="008F6682" w:rsidRDefault="008F6682" w:rsidP="008F6682">
      <w:pPr>
        <w:pStyle w:val="OCJENSKIRADOVI2Podnaslovpoglavlja"/>
        <w:spacing w:line="360" w:lineRule="auto"/>
        <w:rPr>
          <w:lang w:val="en-US"/>
        </w:rPr>
      </w:pPr>
      <w:bookmarkStart w:id="13" w:name="_Toc225421354"/>
      <w:r>
        <w:rPr>
          <w:lang w:val="en-US"/>
        </w:rPr>
        <w:t>Biološka ispitivanja</w:t>
      </w:r>
      <w:bookmarkEnd w:id="13"/>
    </w:p>
    <w:p w14:paraId="45CA51A4" w14:textId="2DCC0C14" w:rsidR="002928DE" w:rsidRDefault="002928DE" w:rsidP="002928DE">
      <w:pPr>
        <w:pStyle w:val="NormalWeb"/>
        <w:spacing w:line="360" w:lineRule="auto"/>
        <w:jc w:val="both"/>
      </w:pPr>
      <w:r>
        <w:t xml:space="preserve">Biološka ispitivanja provedena su kako bi se procijenila citotoksičnost boje </w:t>
      </w:r>
      <w:r w:rsidRPr="005F66F8">
        <w:rPr>
          <w:b/>
          <w:bCs/>
        </w:rPr>
        <w:t>R9</w:t>
      </w:r>
      <w:r>
        <w:t xml:space="preserve"> i njezina sposobnost ulaska u stanice. Testiranja su provedena na HaCaT keratinocitima, odabranima zbog potencijalne primjene fluorescentne boje na epidermu kože u dijagnostičke svrhe. Ispitana </w:t>
      </w:r>
      <w:r>
        <w:lastRenderedPageBreak/>
        <w:t xml:space="preserve">je biokompatibilnost lipidnog nanonosača CellInject, i to kao placebo u koncentracijama 0,5 %, 1 % i 2 %, kao i u kombinaciji s bojom </w:t>
      </w:r>
      <w:r w:rsidRPr="005F66F8">
        <w:rPr>
          <w:b/>
          <w:bCs/>
        </w:rPr>
        <w:t>R9</w:t>
      </w:r>
      <w:r>
        <w:t xml:space="preserve"> koncentracije 30 nM tijekom inkubacije od 30 minuta. Rezultati nisu pokazali statistički značajne razlike u vitalnosti stanica između uzoraka, što upućuje na nisku citotoksičnost i dobru biokompatibilnost sustava (Slika 7).</w:t>
      </w:r>
    </w:p>
    <w:p w14:paraId="1A16A68D" w14:textId="77777777" w:rsidR="002928DE" w:rsidRDefault="002928DE" w:rsidP="002928DE">
      <w:pPr>
        <w:pStyle w:val="NormalWeb"/>
        <w:spacing w:line="360" w:lineRule="auto"/>
        <w:jc w:val="center"/>
      </w:pPr>
      <w:r>
        <w:rPr>
          <w:noProof/>
        </w:rPr>
        <w:drawing>
          <wp:inline distT="0" distB="0" distL="0" distR="0" wp14:anchorId="6F711EE4" wp14:editId="7E46722A">
            <wp:extent cx="3143250" cy="1795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013" cy="1863807"/>
                    </a:xfrm>
                    <a:prstGeom prst="rect">
                      <a:avLst/>
                    </a:prstGeom>
                    <a:noFill/>
                    <a:ln>
                      <a:noFill/>
                    </a:ln>
                  </pic:spPr>
                </pic:pic>
              </a:graphicData>
            </a:graphic>
          </wp:inline>
        </w:drawing>
      </w:r>
    </w:p>
    <w:p w14:paraId="5262020D" w14:textId="4BA9C310" w:rsidR="002928DE" w:rsidRDefault="002928DE" w:rsidP="002928DE">
      <w:pPr>
        <w:pStyle w:val="NormalWeb"/>
        <w:spacing w:line="360" w:lineRule="auto"/>
        <w:jc w:val="center"/>
      </w:pPr>
      <w:r>
        <w:t xml:space="preserve">Slika 7. Vijabilnost HaCaT stanica tretiranih tijekom 30 minuta placebom i CellInject sustavom opterećenim bojom </w:t>
      </w:r>
      <w:r w:rsidRPr="005F66F8">
        <w:rPr>
          <w:b/>
          <w:bCs/>
        </w:rPr>
        <w:t>R9</w:t>
      </w:r>
      <w:r>
        <w:t>, koji je sadržavao lipidne frakcije od 0,5 %, 1 % i 2 % te koncentraciju boje od 30 nM (srednja vrijednost ± SD, n = 3)</w:t>
      </w:r>
      <w:r w:rsidR="00476083">
        <w:t>.</w:t>
      </w:r>
      <w:r w:rsidR="00476083">
        <w:fldChar w:fldCharType="begin" w:fldLock="1"/>
      </w:r>
      <w:r w:rsidR="00476083">
        <w:instrText>ADDIN CSL_CITATION {"citationItems":[{"id":"ITEM-1","itemData":{"DOI":"10.3390/molecules29246038","ISSN":"14203049","PMID":"39770126","abstract":"The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-1","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mendeley":{"formattedCitation":"&lt;sup&gt;3&lt;/sup&gt;","plainTextFormattedCitation":"3","previouslyFormattedCitation":"&lt;sup&gt;3&lt;/sup&gt;"},"properties":{"noteIndex":0},"schema":"https://github.com/citation-style-language/schema/raw/master/csl-citation.json"}</w:instrText>
      </w:r>
      <w:r w:rsidR="00476083">
        <w:fldChar w:fldCharType="separate"/>
      </w:r>
      <w:r w:rsidR="00476083" w:rsidRPr="00476083">
        <w:rPr>
          <w:noProof/>
          <w:vertAlign w:val="superscript"/>
        </w:rPr>
        <w:t>3</w:t>
      </w:r>
      <w:r w:rsidR="00476083">
        <w:fldChar w:fldCharType="end"/>
      </w:r>
    </w:p>
    <w:p w14:paraId="1FFFBBBC" w14:textId="3AD0E95C" w:rsidR="002928DE" w:rsidRDefault="00413C9A" w:rsidP="002928DE">
      <w:pPr>
        <w:pStyle w:val="NormalWeb"/>
        <w:spacing w:line="360" w:lineRule="auto"/>
        <w:jc w:val="both"/>
      </w:pPr>
      <w:r>
        <w:t>Eksperimenti konfokalne mikroskopije provedeni</w:t>
      </w:r>
      <w:r w:rsidR="002928DE">
        <w:t xml:space="preserve"> su na tumorskim stanicama radi procjene unutarstaničnog unosa boje. Kao stanični model korištene su stanice humanog karcinoma grlića maternice (HeLa Kyoto)</w:t>
      </w:r>
      <w:r w:rsidR="00D933DF">
        <w:t>.</w:t>
      </w:r>
      <w:r w:rsidR="002928DE">
        <w:t xml:space="preserve"> Pri izravnom tretiranju stanica otopinom </w:t>
      </w:r>
      <w:r w:rsidR="002928DE" w:rsidRPr="005F66F8">
        <w:rPr>
          <w:b/>
        </w:rPr>
        <w:t>R9</w:t>
      </w:r>
      <w:r w:rsidR="002928DE">
        <w:t xml:space="preserve"> nije zabilježena značajna fluorescencija pri pobudi laserom valne duljine 488 nm, što ukazuje na vrlo slabu sposobnost boje da samostalno prođe kroz staničnu membranu. Takvo ponašanje tipično je za dikationske cijaninske boje zbog njihove hidrofilnosti i naboja.</w:t>
      </w:r>
      <w:r>
        <w:t xml:space="preserve"> </w:t>
      </w:r>
      <w:r w:rsidR="002928DE">
        <w:t xml:space="preserve">Kako bi se poboljšala stanična permeabilnost, boja </w:t>
      </w:r>
      <w:r w:rsidR="002928DE" w:rsidRPr="004B10C7">
        <w:rPr>
          <w:b/>
        </w:rPr>
        <w:t>R9</w:t>
      </w:r>
      <w:r w:rsidR="002928DE">
        <w:t xml:space="preserve"> inkapsulirana je u lipidne nanočestice CellInject. Nakon približno jednog sata inkubacije opažena je izražena intracelularna fluorescencija, što se pripisuje enzimatskoj razgradnji nanočestica unutar stanice i oslobađanju slobodne boje. Fluorescencija je bila lokalizirana ponajprije u citoplazmi te u jezgricama (nukleolusima), koje su bogate RNA, što je u skladu s većom osjetljivošću boje </w:t>
      </w:r>
      <w:r w:rsidR="002928DE" w:rsidRPr="005F66F8">
        <w:rPr>
          <w:b/>
        </w:rPr>
        <w:t>R9</w:t>
      </w:r>
      <w:r w:rsidR="002928DE">
        <w:t xml:space="preserve"> prema ribonukleinskim kiselinama. </w:t>
      </w:r>
      <w:r>
        <w:t>Rezultati konfokalne mikroskopije prikazani su na slici 8.</w:t>
      </w:r>
    </w:p>
    <w:p w14:paraId="512958F8" w14:textId="0F4186D4" w:rsidR="00413C9A" w:rsidRDefault="00413C9A" w:rsidP="00413C9A">
      <w:pPr>
        <w:pStyle w:val="NormalWeb"/>
        <w:spacing w:line="360" w:lineRule="auto"/>
        <w:jc w:val="center"/>
      </w:pPr>
      <w:r>
        <w:rPr>
          <w:noProof/>
        </w:rPr>
        <w:lastRenderedPageBreak/>
        <w:drawing>
          <wp:inline distT="0" distB="0" distL="0" distR="0" wp14:anchorId="0502C7C4" wp14:editId="27903E02">
            <wp:extent cx="5210175" cy="361698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8703" cy="3622901"/>
                    </a:xfrm>
                    <a:prstGeom prst="rect">
                      <a:avLst/>
                    </a:prstGeom>
                    <a:noFill/>
                    <a:ln>
                      <a:noFill/>
                    </a:ln>
                  </pic:spPr>
                </pic:pic>
              </a:graphicData>
            </a:graphic>
          </wp:inline>
        </w:drawing>
      </w:r>
    </w:p>
    <w:p w14:paraId="352A43CD" w14:textId="4024AA16" w:rsidR="00413C9A" w:rsidRDefault="00413C9A" w:rsidP="00476083">
      <w:pPr>
        <w:pStyle w:val="NormalWeb"/>
        <w:spacing w:line="360" w:lineRule="auto"/>
        <w:jc w:val="center"/>
      </w:pPr>
      <w:r>
        <w:t>Slika 8. (A) HeLa Kyoto stanice snimljene 750 minuta nakon tretmana otopinom slobodne boje. (B) Boja je inkapsulirana u CellInject čestice. U citoplazmi i nukleolusima HeLa Kyoto stanica opažena je izrazita fluorescencija koja potječe od kompleksa boje s RNA (označeno crvenim i bijelim strelicama.</w:t>
      </w:r>
      <w:r w:rsidRPr="00413C9A">
        <w:t xml:space="preserve"> </w:t>
      </w:r>
      <w:r>
        <w:t>Prikazane su slike iz DIC</w:t>
      </w:r>
      <w:r w:rsidR="00CC5A95">
        <w:t xml:space="preserve"> (</w:t>
      </w:r>
      <w:r w:rsidR="00CC5A95" w:rsidRPr="00CC5A95">
        <w:t>Differential Interference Contrast</w:t>
      </w:r>
      <w:r w:rsidR="00CC5A95">
        <w:t>)</w:t>
      </w:r>
      <w:r>
        <w:t xml:space="preserve"> kanala (lijevo), fluorescencijskog kanala pri pobudi 488 nm (desno) i p</w:t>
      </w:r>
      <w:r w:rsidR="00476083">
        <w:t>reklapanje oba kanala (sredina) (preuzeto i prilagođeno iz ref. 3).</w:t>
      </w:r>
    </w:p>
    <w:p w14:paraId="46BCFC52" w14:textId="1C2ACDB2" w:rsidR="00413C9A" w:rsidRDefault="00413C9A" w:rsidP="00413C9A">
      <w:pPr>
        <w:pStyle w:val="NormalWeb"/>
        <w:spacing w:line="360" w:lineRule="auto"/>
        <w:jc w:val="both"/>
      </w:pPr>
      <w:r>
        <w:t>Daljnja ispitivanja provedena su na mezenhimalnim matičnim stanicama iz apikalne papile zuba (engl. </w:t>
      </w:r>
      <w:r w:rsidRPr="00413C9A">
        <w:rPr>
          <w:rStyle w:val="Emphasis"/>
          <w:color w:val="0A0A0A"/>
          <w:shd w:val="clear" w:color="auto" w:fill="FFFFFF"/>
        </w:rPr>
        <w:t>Stem Cells from Apical Papilla</w:t>
      </w:r>
      <w:r>
        <w:rPr>
          <w:rFonts w:ascii="Arial" w:hAnsi="Arial" w:cs="Arial"/>
          <w:color w:val="0A0A0A"/>
          <w:shd w:val="clear" w:color="auto" w:fill="FFFFFF"/>
        </w:rPr>
        <w:t> - </w:t>
      </w:r>
      <w:r>
        <w:t xml:space="preserve"> SCAP), koje su nediferencirane stanice sposobne za diferencijaciju u različite tipove tkiva te se često koriste u istraživanjima regenerativne medicine. Zbog svoje visoke proliferacijske sposobnosti i osjetljivosti na vanjske čimbenike, predstavljaju prikladan model za ispitivanje novih fluorescentnih </w:t>
      </w:r>
      <w:r w:rsidR="00476083">
        <w:t>proba</w:t>
      </w:r>
      <w:r>
        <w:t xml:space="preserve">. Pri tretiranju živih SCAP stanica slobodnom bojom </w:t>
      </w:r>
      <w:r w:rsidRPr="005F66F8">
        <w:rPr>
          <w:b/>
        </w:rPr>
        <w:t>R9</w:t>
      </w:r>
      <w:r>
        <w:t xml:space="preserve"> u koncentraciji 2 μM, uočeno je da boja ne prolazi učinkovito kroz nuklearnu membranu te se uglavnom zadržava u citoplazmi, pri čemu oboji strukture nalik endoplazmatskom retikulumu. Međutim, nakon fiksacije stanica boja prodire u jezgru i akumulira se u strukturama koje odgovaraju nukleolusima.</w:t>
      </w:r>
    </w:p>
    <w:p w14:paraId="24CF1F8A" w14:textId="544D3CA0" w:rsidR="00424536" w:rsidRPr="00A44071" w:rsidRDefault="00413C9A" w:rsidP="00B5719B">
      <w:pPr>
        <w:pStyle w:val="NormalWeb"/>
        <w:spacing w:line="360" w:lineRule="auto"/>
        <w:ind w:firstLine="720"/>
        <w:jc w:val="both"/>
      </w:pPr>
      <w:r>
        <w:lastRenderedPageBreak/>
        <w:t xml:space="preserve">Kada je boja </w:t>
      </w:r>
      <w:r w:rsidRPr="005F66F8">
        <w:rPr>
          <w:b/>
        </w:rPr>
        <w:t>R9</w:t>
      </w:r>
      <w:r>
        <w:t xml:space="preserve"> dostavljena pomoću CellInject lipidnih nanočestica u znatno nižoj koncentraciji (30 nM), nakon inkubacije zabilježena je fluorescencija i u citoplazmi i u jezgri stanica. Citoplazmatsko obojenje imalo je granularni izgled sličan endoplazmatskom retikulumu, dok je u jezgri uočena izražena akumulacija u nukleolusima, što upućuje na vezanje boje na RNA. Rezultati pokazuju da, unatoč dobrim spektroskopskim svojstvima, slobodna boja </w:t>
      </w:r>
      <w:r w:rsidRPr="005F66F8">
        <w:rPr>
          <w:b/>
        </w:rPr>
        <w:t>R9</w:t>
      </w:r>
      <w:r>
        <w:t xml:space="preserve"> ima ograničenu sposobnost ulaska u žive stanice. Primjena lipidnog nanonosača omogućila je učinkovitu unutarstaničnu dostavu, spriječila prerano oslobađanje boje u ekstracelularnom mediju i omogućila njezino selektivno vezanje na nukleinske kiseline nakon intracelularne razgradnje nosača.</w:t>
      </w:r>
      <w:r w:rsidR="00476083">
        <w:fldChar w:fldCharType="begin" w:fldLock="1"/>
      </w:r>
      <w:r w:rsidR="00496879">
        <w:instrText>ADDIN CSL_CITATION {"citationItems":[{"id":"ITEM-1","itemData":{"ISBN":"9789528601012","author":[{"dropping-particle":"","family":"Alaranta","given":"Johanna","non-dropping-particle":"","parse-names":false,"suffix":""}],"id":"ITEM-1","issued":{"date-parts":[["2024"]]},"number-of-pages":"13-30","title":"Synthesis of Monomethine Cyanine Dyes and Gold Nanoclusters and their Applications as Fluorescent Probes Johanna Alaranta Synthesis of Monomethine Cyanine Dyes and Gold Nanoclusters and their Applications as Fluorescent Probes","type":"thesis"},"uris":["http://www.mendeley.com/documents/?uuid=649b898a-2fc2-490c-827f-083024235334"]},{"id":"ITEM-2","itemData":{"DOI":"10.3390/molecules29246038","ISSN":"14203049","PMID":"39770126","abstract":"The development of fluorescence-based methods for bioassays and medical diagnostics requires the design and synthesis of specific markers to target biological microobjects. However, biomolecular recognition in real cellular systems is not always as selective as desired. A new concept for creating fluorescent biomolecular probes, utilizing a fluorogenic dye and biodegradable, biocompatible nanomaterials, is demonstrated. The synthesis of a new dicationic asymmetric monomethine cyanine dye with benzo[d]thiazolium-N-propionamide and chloroquinoline end groups is presented. The photophysical properties of the newly synthesized dye were examined through the combined application of spectroscopic and theoretical methods. The applicability of the dye as a fluorogenic nucleic acid probe was proven by UV-VIS spectroscopy and fluorescence titration. The dye–nucleic acid interaction mode was investigated by UV-Vis and CD spectroscopy. The newly synthesized dicationic dye, like other similar fluorogenic structures, limited permeability, which restricts its use as a probe for RNA and DNA. To enhance cellular delivery, we utilized a patented technology that employs solid, insoluble lipid nanoparticles. This method ensures the complete introduction of the dye into cells while minimizing activity outside the cells. In our study involving two human cell lines, we observed improved penetration through the cell membrane and distinctive selectivity in visualizing nucleic acids within the cytoplasm and nucleus.","author":[{"dropping-particle":"","family":"Ishkitiev","given":"Nikolay","non-dropping-particle":"","parse-names":false,"suffix":""},{"dropping-particle":"","family":"Micheva","given":"Maria","non-dropping-particle":"","parse-names":false,"suffix":""},{"dropping-particle":"","family":"Miteva","given":"Marina","non-dropping-particle":"","parse-names":false,"suffix":""},{"dropping-particle":"","family":"Gaydarova","given":"Stefaniya","non-dropping-particle":"","parse-names":false,"suffix":""},{"dropping-particle":"","family":"Tzachev","given":"Christo","non-dropping-particle":"","parse-names":false,"suffix":""},{"dropping-particle":"","family":"Lozanova","given":"Vesela","non-dropping-particle":"","parse-names":false,"suffix":""},{"dropping-particle":"","family":"Lozanov","given":"Valentin","non-dropping-particle":"","parse-names":false,"suffix":""},{"dropping-particle":"","family":"Cheshmedzhieva","given":"Diana","non-dropping-particle":"","parse-names":false,"suffix":""},{"dropping-particle":"","family":"Kandinska","given":"Meglena","non-dropping-particle":"","parse-names":false,"suffix":""},{"dropping-particle":"","family":"Ilieva","given":"Sonia","non-dropping-particle":"","parse-names":false,"suffix":""},{"dropping-particle":"","family":"Gargallo","given":"Raimundo","non-dropping-particle":"","parse-names":false,"suffix":""},{"dropping-particle":"","family":"Baluschev","given":"Stanislav","non-dropping-particle":"","parse-names":false,"suffix":""},{"dropping-particle":"","family":"Stoynov","given":"Stoyno","non-dropping-particle":"","parse-names":false,"suffix":""},{"dropping-particle":"","family":"Dyankova-Danovska","given":"Teodora","non-dropping-particle":"","parse-names":false,"suffix":""},{"dropping-particle":"","family":"Nedelcheva-Veleva","given":"Marina","non-dropping-particle":"","parse-names":false,"suffix":""},{"dropping-particle":"","family":"Landfester","given":"Katharina","non-dropping-particle":"","parse-names":false,"suffix":""},{"dropping-particle":"","family":"Mihaylova","given":"Zornitsa","non-dropping-particle":"","parse-names":false,"suffix":""},{"dropping-particle":"","family":"Vasilev","given":"Aleksey","non-dropping-particle":"","parse-names":false,"suffix":""}],"container-title":"Molecules","id":"ITEM-2","issue":"24","issued":{"date-parts":[["2024"]]},"title":"Nanoconfined Chlorine-Substituted Monomethine Cyanine Dye with a Propionamide Function Based on the Thiazole Orange Scaffold—Use of a Fluorogenic Probe for Cell Staining and Nucleic Acid Visualization","type":"article-journal","volume":"29"},"uris":["http://www.mendeley.com/documents/?uuid=dbefb6d5-c077-4f66-afde-1b97b20c5c21"]},{"id":"ITEM-3","itemData":{"DOI":"10.1186/s12951-018-0392-8","ISSN":"14773155","PMID":"30231877","abstract":"Nanomedicine and nano delivery systems are a relatively new but rapidly developing science where materials in the nanoscale range are employed to serve as means of diagnostic tools or to deliver therapeutic agents to specific targeted sites in a controlled manner. Nanotechnology offers multiple benefits in treating chronic human diseases by site-specific, and target-oriented delivery of precise medicines. Recently, there are a number of outstanding applications of the nanomedicine (chemotherapeutic agents, biological agents, immunotherapeutic agents etc.) in the treatment of various diseases. The current review, presents an updated summary of recent advances in the field of nanomedicines and nano based drug delivery systems through comprehensive scrutiny of the discovery and application of nanomaterials in improving both the efficacy of novel and old drugs (e.g., natural products) and selective diagnosis through disease marker molecules. The opportunities and challenges of nanomedicines in drug delivery from synthetic/natural sources to their clinical applications are also discussed. In addition, we have included information regarding the trends and perspectives in nanomedicine area.","author":[{"dropping-particle":"","family":"Patra","given":"Jayanta Kumar","non-dropping-particle":"","parse-names":false,"suffix":""},{"dropping-particle":"","family":"Das","given":"Gitishree","non-dropping-particle":"","parse-names":false,"suffix":""},{"dropping-particle":"","family":"Fraceto","given":"Leonardo Fernandes","non-dropping-particle":"","parse-names":false,"suffix":""},{"dropping-particle":"","family":"Campos","given":"Estefania Vangelie Ramos","non-dropping-particle":"","parse-names":false,"suffix":""},{"dropping-particle":"","family":"Rodriguez-Torres","given":"Maria Del Pilar","non-dropping-particle":"","parse-names":false,"suffix":""},{"dropping-particle":"","family":"Acosta-Torres","given":"Laura Susana","non-dropping-particle":"","parse-names":false,"suffix":""},{"dropping-particle":"","family":"Diaz-Torres","given":"Luis Armando","non-dropping-particle":"","parse-names":false,"suffix":""},{"dropping-particle":"","family":"Grillo","given":"Renato","non-dropping-particle":"","parse-names":false,"suffix":""},{"dropping-particle":"","family":"Swamy","given":"Mallappa Kumara","non-dropping-particle":"","parse-names":false,"suffix":""},{"dropping-particle":"","family":"Sharma","given":"Shivesh","non-dropping-particle":"","parse-names":false,"suffix":""},{"dropping-particle":"","family":"Habtemariam","given":"Solomon","non-dropping-particle":"","parse-names":false,"suffix":""},{"dropping-particle":"","family":"Shin","given":"Han Seung","non-dropping-particle":"","parse-names":false,"suffix":""}],"container-title":"Journal of Nanobiotechnology","id":"ITEM-3","issue":"1","issued":{"date-parts":[["2018"]]},"page":"1-33","publisher":"BioMed Central","title":"Nano based drug delivery systems: Recent developments and future prospects","type":"article-journal","volume":"16"},"uris":["http://www.mendeley.com/documents/?uuid=8b37a7ed-6fd7-4d6e-99c1-632c08b377a6"]}],"mendeley":{"formattedCitation":"&lt;sup&gt;3,15,16&lt;/sup&gt;","plainTextFormattedCitation":"3,15,16","previouslyFormattedCitation":"&lt;sup&gt;3,15,16&lt;/sup&gt;"},"properties":{"noteIndex":0},"schema":"https://github.com/citation-style-language/schema/raw/master/csl-citation.json"}</w:instrText>
      </w:r>
      <w:r w:rsidR="00476083">
        <w:fldChar w:fldCharType="separate"/>
      </w:r>
      <w:r w:rsidR="00476083" w:rsidRPr="00476083">
        <w:rPr>
          <w:noProof/>
          <w:vertAlign w:val="superscript"/>
        </w:rPr>
        <w:t>3,15,16</w:t>
      </w:r>
      <w:r w:rsidR="00476083">
        <w:fldChar w:fldCharType="end"/>
      </w:r>
    </w:p>
    <w:p w14:paraId="2320593A" w14:textId="6B80FB6D" w:rsidR="00424536" w:rsidRPr="00BD3ED6" w:rsidRDefault="00BD3ED6" w:rsidP="00BD3ED6">
      <w:pPr>
        <w:rPr>
          <w:lang w:val="hr-HR"/>
        </w:rPr>
      </w:pPr>
      <w:r>
        <w:br w:type="page"/>
      </w:r>
    </w:p>
    <w:p w14:paraId="3A167BCD" w14:textId="77777777" w:rsidR="00424536" w:rsidRPr="00A44071" w:rsidRDefault="00424536" w:rsidP="00CA3BF9">
      <w:pPr>
        <w:pStyle w:val="OCJENSKIRADOVI1Naslovpoglavlja"/>
      </w:pPr>
      <w:bookmarkStart w:id="14" w:name="_Toc355955761"/>
      <w:bookmarkStart w:id="15" w:name="_Toc256085216"/>
      <w:bookmarkStart w:id="16" w:name="_Toc225421355"/>
      <w:r w:rsidRPr="00A44071">
        <w:lastRenderedPageBreak/>
        <w:t>ZAKLJUČAK</w:t>
      </w:r>
      <w:bookmarkEnd w:id="14"/>
      <w:bookmarkEnd w:id="16"/>
    </w:p>
    <w:p w14:paraId="4935D5F0" w14:textId="77777777" w:rsidR="00E06FFF" w:rsidRDefault="00E06FFF" w:rsidP="00E06FFF">
      <w:pPr>
        <w:pStyle w:val="NormalWeb"/>
        <w:spacing w:line="360" w:lineRule="auto"/>
        <w:jc w:val="both"/>
      </w:pPr>
      <w:r>
        <w:t xml:space="preserve">U ovom radu prikazana je sinteza i karakterizacija nove asimetrične monometinske dikationske cijaninske boje </w:t>
      </w:r>
      <w:r w:rsidRPr="004B10C7">
        <w:rPr>
          <w:b/>
        </w:rPr>
        <w:t>R9</w:t>
      </w:r>
      <w:r>
        <w:t xml:space="preserve"> te analiza njezine interakcije s polinukleotidima. Spektroskopska ispitivanja UV/Vis i fluorescencijskom titracijom pokazala su da boja </w:t>
      </w:r>
      <w:r w:rsidRPr="005F66F8">
        <w:rPr>
          <w:b/>
        </w:rPr>
        <w:t>R9</w:t>
      </w:r>
      <w:r>
        <w:t xml:space="preserve"> nakon vezanja na DNA i RNA pokazuje izražen fluorogeni odgovor, uz hipokromni i batokromni pomak apsorpcije te značajno povećanje intenziteta fluorescencije. Dobiveni rezultati upućuju na snažnu interakciju boje s nukleinskim kiselinama, pri čemu je izraženija osjetljivost prema RNA.</w:t>
      </w:r>
    </w:p>
    <w:p w14:paraId="315D2597" w14:textId="3B352B96" w:rsidR="00E06FFF" w:rsidRDefault="00B17F52" w:rsidP="00E06FFF">
      <w:pPr>
        <w:pStyle w:val="NormalWeb"/>
        <w:spacing w:line="360" w:lineRule="auto"/>
        <w:ind w:firstLine="720"/>
        <w:jc w:val="both"/>
      </w:pPr>
      <w:r>
        <w:t>Spektroskopija</w:t>
      </w:r>
      <w:r w:rsidR="00E06FFF">
        <w:t xml:space="preserve"> cirkularnog dikroizma potvrdila je da se boja veže u mali utor polinukleotida, a ne interkalacijom između parova baza. DFT proračuni dodatno su potvrdili eksperimentalne nalaze, ukazujući na raspodjelu naboja i elektroničku strukturu molekule koja pogoduje elektrostatskim interakcijama s negativno nabijenom fosfatnom okosnicom nukleinskih kiselina.</w:t>
      </w:r>
    </w:p>
    <w:p w14:paraId="5D77DDAE" w14:textId="6EBF827C" w:rsidR="00E06FFF" w:rsidRDefault="00E06FFF" w:rsidP="00E06FFF">
      <w:pPr>
        <w:pStyle w:val="NormalWeb"/>
        <w:spacing w:line="360" w:lineRule="auto"/>
        <w:jc w:val="both"/>
      </w:pPr>
      <w:r>
        <w:t xml:space="preserve">Biološka ispitivanja pokazala su da slobodna boja </w:t>
      </w:r>
      <w:r w:rsidRPr="005F66F8">
        <w:rPr>
          <w:b/>
        </w:rPr>
        <w:t>R9</w:t>
      </w:r>
      <w:r>
        <w:t xml:space="preserve"> ima ograničenu sposobnost prolaska kroz staničnu membranu, što je karakteristično za dikationske cijaninske boje. Međutim, inkapsulacijom u lipidne nanočestice CellInject omogućena je učinkovita unutarstanična dostava bez značajne citotoksičnosti. Nakon unutarstanične razgradnje nosača dolazi do oslobađanja boje i njezine akumulacije u citoplazmi i nukleolusu, što je u skladu s vezanjem na RNA.</w:t>
      </w:r>
    </w:p>
    <w:p w14:paraId="5A805585" w14:textId="77777777" w:rsidR="00E06FFF" w:rsidRDefault="00E06FFF" w:rsidP="00E06FFF">
      <w:pPr>
        <w:pStyle w:val="NormalWeb"/>
        <w:spacing w:line="360" w:lineRule="auto"/>
        <w:ind w:firstLine="720"/>
        <w:jc w:val="both"/>
      </w:pPr>
      <w:r>
        <w:t>Dobiveni rezultati pokazuju da kombinacija nove cijaninske boje i lipidnog nanonosača predstavlja učinkovit pristup za razvoj fluorescentnih proba za detekciju nukleinskih kiselina u biološkim sustavima. Takvi sustavi imaju potencijalnu primjenu u biomedicinskoj dijagnostici, staničnom oslikavanju i istraživanju molekularnih procesa u živim stanicama.</w:t>
      </w:r>
    </w:p>
    <w:p w14:paraId="56CBB4D1" w14:textId="77777777" w:rsidR="00E06FFF" w:rsidRPr="00A44071" w:rsidRDefault="00E06FFF" w:rsidP="00CA3BF9">
      <w:pPr>
        <w:pStyle w:val="OCJENSKIRADOVIOdlomak3NASTAVAKODLOMKA"/>
      </w:pPr>
    </w:p>
    <w:p w14:paraId="6832E474" w14:textId="77777777" w:rsidR="00424536" w:rsidRPr="00A44071" w:rsidRDefault="00424536" w:rsidP="00CA3BF9">
      <w:pPr>
        <w:pStyle w:val="OCJENSKIRADOVIOdlomak3NASTAVAKODLOMKA"/>
      </w:pPr>
    </w:p>
    <w:p w14:paraId="37DE0247" w14:textId="77777777" w:rsidR="00424536" w:rsidRPr="00A44071" w:rsidRDefault="00424536" w:rsidP="001C6639">
      <w:pPr>
        <w:pStyle w:val="OCJENSKIRADOVIOdlomak3NASTAVAKODLOMKA"/>
        <w:sectPr w:rsidR="00424536" w:rsidRPr="00A44071" w:rsidSect="00CF6BB4">
          <w:headerReference w:type="default" r:id="rId23"/>
          <w:pgSz w:w="11907" w:h="16840" w:code="9"/>
          <w:pgMar w:top="1701" w:right="1418" w:bottom="1701" w:left="1418" w:header="1134" w:footer="1134" w:gutter="0"/>
          <w:cols w:space="708"/>
          <w:docGrid w:linePitch="360"/>
        </w:sectPr>
      </w:pPr>
    </w:p>
    <w:p w14:paraId="040C238A" w14:textId="2330098A" w:rsidR="00424536" w:rsidRDefault="00424536" w:rsidP="00476083">
      <w:pPr>
        <w:pStyle w:val="OCJENSKIRADOVI1Naslovpoglavlja"/>
      </w:pPr>
      <w:bookmarkStart w:id="17" w:name="_Toc355955763"/>
      <w:bookmarkStart w:id="18" w:name="_Toc225421356"/>
      <w:r w:rsidRPr="00A44071">
        <w:lastRenderedPageBreak/>
        <w:t>LITERATURNI IZVORI</w:t>
      </w:r>
      <w:bookmarkEnd w:id="15"/>
      <w:bookmarkEnd w:id="17"/>
      <w:bookmarkEnd w:id="18"/>
    </w:p>
    <w:p w14:paraId="39BD6107" w14:textId="2474FD25" w:rsidR="00496879" w:rsidRPr="00496879" w:rsidRDefault="00496879" w:rsidP="00496879">
      <w:pPr>
        <w:widowControl w:val="0"/>
        <w:autoSpaceDE w:val="0"/>
        <w:autoSpaceDN w:val="0"/>
        <w:adjustRightInd w:val="0"/>
        <w:spacing w:line="360" w:lineRule="auto"/>
        <w:ind w:left="640" w:hanging="640"/>
        <w:rPr>
          <w:noProof/>
        </w:rPr>
      </w:pPr>
      <w:r>
        <w:fldChar w:fldCharType="begin" w:fldLock="1"/>
      </w:r>
      <w:r>
        <w:instrText xml:space="preserve">ADDIN Mendeley Bibliography CSL_BIBLIOGRAPHY </w:instrText>
      </w:r>
      <w:r>
        <w:fldChar w:fldCharType="separate"/>
      </w:r>
      <w:r w:rsidRPr="00496879">
        <w:rPr>
          <w:noProof/>
        </w:rPr>
        <w:t>1.</w:t>
      </w:r>
      <w:r w:rsidRPr="00496879">
        <w:rPr>
          <w:noProof/>
        </w:rPr>
        <w:tab/>
        <w:t xml:space="preserve">X. Ma, L. Shi, B. Zhang, L. Liu, Y. Fu, X. Zhang, </w:t>
      </w:r>
      <w:r w:rsidRPr="00496879">
        <w:rPr>
          <w:i/>
          <w:iCs/>
          <w:noProof/>
        </w:rPr>
        <w:t>Anal. Bioanal. Chem.</w:t>
      </w:r>
      <w:r w:rsidRPr="00496879">
        <w:rPr>
          <w:noProof/>
        </w:rPr>
        <w:t xml:space="preserve"> </w:t>
      </w:r>
      <w:r w:rsidRPr="00496879">
        <w:rPr>
          <w:b/>
          <w:bCs/>
          <w:noProof/>
        </w:rPr>
        <w:t>414</w:t>
      </w:r>
      <w:r w:rsidRPr="00496879">
        <w:rPr>
          <w:noProof/>
        </w:rPr>
        <w:t xml:space="preserve"> (2022) 4551–4573.</w:t>
      </w:r>
    </w:p>
    <w:p w14:paraId="31400AA8"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2.</w:t>
      </w:r>
      <w:r w:rsidRPr="00496879">
        <w:rPr>
          <w:noProof/>
        </w:rPr>
        <w:tab/>
        <w:t xml:space="preserve">S. Ilieva, N. Petkov, R. Gargallo, C. Novakov, M. Rangelov, N. Todorova, A. Vasilev, D. Cheshmedzhieva, </w:t>
      </w:r>
      <w:r w:rsidRPr="00496879">
        <w:rPr>
          <w:i/>
          <w:iCs/>
          <w:noProof/>
        </w:rPr>
        <w:t>Biosensors</w:t>
      </w:r>
      <w:r w:rsidRPr="00496879">
        <w:rPr>
          <w:noProof/>
        </w:rPr>
        <w:t xml:space="preserve"> </w:t>
      </w:r>
      <w:r w:rsidRPr="00496879">
        <w:rPr>
          <w:b/>
          <w:bCs/>
          <w:noProof/>
        </w:rPr>
        <w:t>15</w:t>
      </w:r>
      <w:r w:rsidRPr="00496879">
        <w:rPr>
          <w:noProof/>
        </w:rPr>
        <w:t xml:space="preserve"> (2025).</w:t>
      </w:r>
    </w:p>
    <w:p w14:paraId="00E5A2F5" w14:textId="37203614" w:rsidR="00496879" w:rsidRPr="00496879" w:rsidRDefault="00496879" w:rsidP="00496879">
      <w:pPr>
        <w:widowControl w:val="0"/>
        <w:autoSpaceDE w:val="0"/>
        <w:autoSpaceDN w:val="0"/>
        <w:adjustRightInd w:val="0"/>
        <w:spacing w:line="360" w:lineRule="auto"/>
        <w:ind w:left="640" w:hanging="640"/>
        <w:rPr>
          <w:noProof/>
        </w:rPr>
      </w:pPr>
      <w:r w:rsidRPr="00496879">
        <w:rPr>
          <w:noProof/>
        </w:rPr>
        <w:t>3.</w:t>
      </w:r>
      <w:r w:rsidRPr="00496879">
        <w:rPr>
          <w:noProof/>
        </w:rPr>
        <w:tab/>
        <w:t xml:space="preserve">N. Ishkitiev, M. Micheva, M. Miteva, S. Gaydarova, C. Tzachev, V. Lozanova, V. Lozanov, D. Cheshmedzhieva, M. Kandinska, S. Ilieva, R. Gargallo, S. Baluschev, S. Stoynov, T. Dyankova-Danovska, M. Nedelcheva-Veleva, K. Landfester, Z. Mihaylova, A. Vasilev, </w:t>
      </w:r>
      <w:r w:rsidRPr="00496879">
        <w:rPr>
          <w:i/>
          <w:iCs/>
          <w:noProof/>
        </w:rPr>
        <w:t>Molecules</w:t>
      </w:r>
      <w:r w:rsidRPr="00496879">
        <w:rPr>
          <w:noProof/>
        </w:rPr>
        <w:t xml:space="preserve"> </w:t>
      </w:r>
      <w:r w:rsidRPr="00496879">
        <w:rPr>
          <w:b/>
          <w:bCs/>
          <w:noProof/>
        </w:rPr>
        <w:t>29</w:t>
      </w:r>
      <w:r w:rsidRPr="00496879">
        <w:rPr>
          <w:noProof/>
        </w:rPr>
        <w:t xml:space="preserve"> (2024)</w:t>
      </w:r>
      <w:r>
        <w:rPr>
          <w:noProof/>
        </w:rPr>
        <w:t xml:space="preserve"> 6038</w:t>
      </w:r>
      <w:r w:rsidRPr="00496879">
        <w:rPr>
          <w:noProof/>
        </w:rPr>
        <w:t>.</w:t>
      </w:r>
    </w:p>
    <w:p w14:paraId="04A92EE7"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4.</w:t>
      </w:r>
      <w:r w:rsidRPr="00496879">
        <w:rPr>
          <w:noProof/>
        </w:rPr>
        <w:tab/>
        <w:t xml:space="preserve">J. Yuan, H. Yang, W. Huang, S. Liu, H. Zhang, X. Zhang, X. Peng, </w:t>
      </w:r>
      <w:r w:rsidRPr="00496879">
        <w:rPr>
          <w:i/>
          <w:iCs/>
          <w:noProof/>
        </w:rPr>
        <w:t>Chem. Soc. Rev.</w:t>
      </w:r>
      <w:r w:rsidRPr="00496879">
        <w:rPr>
          <w:noProof/>
        </w:rPr>
        <w:t xml:space="preserve"> </w:t>
      </w:r>
      <w:r w:rsidRPr="00496879">
        <w:rPr>
          <w:b/>
          <w:bCs/>
          <w:noProof/>
        </w:rPr>
        <w:t>54</w:t>
      </w:r>
      <w:r w:rsidRPr="00496879">
        <w:rPr>
          <w:noProof/>
        </w:rPr>
        <w:t xml:space="preserve"> (2024) 341–366.</w:t>
      </w:r>
    </w:p>
    <w:p w14:paraId="6979199A"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5.</w:t>
      </w:r>
      <w:r w:rsidRPr="00496879">
        <w:rPr>
          <w:noProof/>
        </w:rPr>
        <w:tab/>
        <w:t xml:space="preserve">P.G. Pronkin, A.S. Tatikolov, </w:t>
      </w:r>
      <w:r w:rsidRPr="00496879">
        <w:rPr>
          <w:i/>
          <w:iCs/>
          <w:noProof/>
        </w:rPr>
        <w:t>Molecules</w:t>
      </w:r>
      <w:r w:rsidRPr="00496879">
        <w:rPr>
          <w:noProof/>
        </w:rPr>
        <w:t xml:space="preserve"> </w:t>
      </w:r>
      <w:r w:rsidRPr="00496879">
        <w:rPr>
          <w:b/>
          <w:bCs/>
          <w:noProof/>
        </w:rPr>
        <w:t>27</w:t>
      </w:r>
      <w:r w:rsidRPr="00496879">
        <w:rPr>
          <w:noProof/>
        </w:rPr>
        <w:t xml:space="preserve"> (2022).</w:t>
      </w:r>
    </w:p>
    <w:p w14:paraId="65D80B6F"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6.</w:t>
      </w:r>
      <w:r w:rsidRPr="00496879">
        <w:rPr>
          <w:noProof/>
        </w:rPr>
        <w:tab/>
        <w:t xml:space="preserve">B.A. Armitage, </w:t>
      </w:r>
      <w:r w:rsidRPr="00496879">
        <w:rPr>
          <w:i/>
          <w:iCs/>
          <w:noProof/>
        </w:rPr>
        <w:t>Top. Curr. Chem.</w:t>
      </w:r>
      <w:r w:rsidRPr="00496879">
        <w:rPr>
          <w:noProof/>
        </w:rPr>
        <w:t xml:space="preserve"> </w:t>
      </w:r>
      <w:r w:rsidRPr="00496879">
        <w:rPr>
          <w:b/>
          <w:bCs/>
          <w:noProof/>
        </w:rPr>
        <w:t>253</w:t>
      </w:r>
      <w:r w:rsidRPr="00496879">
        <w:rPr>
          <w:noProof/>
        </w:rPr>
        <w:t xml:space="preserve"> (2005) 55–76.</w:t>
      </w:r>
    </w:p>
    <w:p w14:paraId="2C3B7DCA"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7.</w:t>
      </w:r>
      <w:r w:rsidRPr="00496879">
        <w:rPr>
          <w:noProof/>
        </w:rPr>
        <w:tab/>
        <w:t xml:space="preserve">J.M. Alaranta, A.M. Valkonen, S.S. Shroff, V.S. Marjomäki, K. Rissanen, T.M. Lahtinen, </w:t>
      </w:r>
      <w:r w:rsidRPr="00496879">
        <w:rPr>
          <w:i/>
          <w:iCs/>
          <w:noProof/>
        </w:rPr>
        <w:t>New J. Chem.</w:t>
      </w:r>
      <w:r w:rsidRPr="00496879">
        <w:rPr>
          <w:noProof/>
        </w:rPr>
        <w:t xml:space="preserve"> </w:t>
      </w:r>
      <w:r w:rsidRPr="00496879">
        <w:rPr>
          <w:b/>
          <w:bCs/>
          <w:noProof/>
        </w:rPr>
        <w:t>48</w:t>
      </w:r>
      <w:r w:rsidRPr="00496879">
        <w:rPr>
          <w:noProof/>
        </w:rPr>
        <w:t xml:space="preserve"> (2024) 4931–4935.</w:t>
      </w:r>
    </w:p>
    <w:p w14:paraId="01556768"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8.</w:t>
      </w:r>
      <w:r w:rsidRPr="00496879">
        <w:rPr>
          <w:noProof/>
        </w:rPr>
        <w:tab/>
        <w:t xml:space="preserve">S.G.K. R, B.B. Mathew, C.N. Sudhamani, H.S.B. Naik, </w:t>
      </w:r>
      <w:r w:rsidRPr="00496879">
        <w:rPr>
          <w:i/>
          <w:iCs/>
          <w:noProof/>
        </w:rPr>
        <w:t xml:space="preserve">Biomed. Biotechnol. </w:t>
      </w:r>
      <w:r w:rsidRPr="00496879">
        <w:rPr>
          <w:noProof/>
        </w:rPr>
        <w:t xml:space="preserve"> </w:t>
      </w:r>
      <w:r w:rsidRPr="00496879">
        <w:rPr>
          <w:b/>
          <w:bCs/>
          <w:noProof/>
        </w:rPr>
        <w:t>2</w:t>
      </w:r>
      <w:r w:rsidRPr="00496879">
        <w:rPr>
          <w:noProof/>
        </w:rPr>
        <w:t xml:space="preserve"> (2013) 1–9.</w:t>
      </w:r>
    </w:p>
    <w:p w14:paraId="446CBD06"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9.</w:t>
      </w:r>
      <w:r w:rsidRPr="00496879">
        <w:rPr>
          <w:noProof/>
        </w:rPr>
        <w:tab/>
        <w:t xml:space="preserve">A.A. Almaqwashi, T. Paramanathan, I. Rouzina, M.C. Williams, </w:t>
      </w:r>
      <w:r w:rsidRPr="00496879">
        <w:rPr>
          <w:i/>
          <w:iCs/>
          <w:noProof/>
        </w:rPr>
        <w:t>Nucleic Acids Res.</w:t>
      </w:r>
      <w:r w:rsidRPr="00496879">
        <w:rPr>
          <w:noProof/>
        </w:rPr>
        <w:t xml:space="preserve"> </w:t>
      </w:r>
      <w:r w:rsidRPr="00496879">
        <w:rPr>
          <w:b/>
          <w:bCs/>
          <w:noProof/>
        </w:rPr>
        <w:t>44</w:t>
      </w:r>
      <w:r w:rsidRPr="00496879">
        <w:rPr>
          <w:noProof/>
        </w:rPr>
        <w:t xml:space="preserve"> (2016) 3971–3988.</w:t>
      </w:r>
    </w:p>
    <w:p w14:paraId="1A9C6A85"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10.</w:t>
      </w:r>
      <w:r w:rsidRPr="00496879">
        <w:rPr>
          <w:noProof/>
        </w:rPr>
        <w:tab/>
        <w:t xml:space="preserve">I. Piantanida, </w:t>
      </w:r>
      <w:r w:rsidRPr="00496879">
        <w:rPr>
          <w:i/>
          <w:iCs/>
          <w:noProof/>
        </w:rPr>
        <w:t>Kem. u Ind. Chem. Chem. Eng.</w:t>
      </w:r>
      <w:r w:rsidRPr="00496879">
        <w:rPr>
          <w:noProof/>
        </w:rPr>
        <w:t xml:space="preserve"> </w:t>
      </w:r>
      <w:r w:rsidRPr="00496879">
        <w:rPr>
          <w:b/>
          <w:bCs/>
          <w:noProof/>
        </w:rPr>
        <w:t>52</w:t>
      </w:r>
      <w:r w:rsidRPr="00496879">
        <w:rPr>
          <w:noProof/>
        </w:rPr>
        <w:t xml:space="preserve"> (2003) 545–552.</w:t>
      </w:r>
    </w:p>
    <w:p w14:paraId="7DAF3F5D"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11.</w:t>
      </w:r>
      <w:r w:rsidRPr="00496879">
        <w:rPr>
          <w:noProof/>
        </w:rPr>
        <w:tab/>
        <w:t xml:space="preserve">A.O. Balanda, S.M. Yarmoluk, </w:t>
      </w:r>
      <w:r w:rsidRPr="00496879">
        <w:rPr>
          <w:i/>
          <w:iCs/>
          <w:noProof/>
        </w:rPr>
        <w:t>Biopolym. Cell</w:t>
      </w:r>
      <w:r w:rsidRPr="00496879">
        <w:rPr>
          <w:noProof/>
        </w:rPr>
        <w:t xml:space="preserve"> </w:t>
      </w:r>
      <w:r w:rsidRPr="00496879">
        <w:rPr>
          <w:b/>
          <w:bCs/>
          <w:noProof/>
        </w:rPr>
        <w:t>41</w:t>
      </w:r>
      <w:r w:rsidRPr="00496879">
        <w:rPr>
          <w:noProof/>
        </w:rPr>
        <w:t xml:space="preserve"> (2025) 121–129.</w:t>
      </w:r>
    </w:p>
    <w:p w14:paraId="471EC4D3"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12.</w:t>
      </w:r>
      <w:r w:rsidRPr="00496879">
        <w:rPr>
          <w:noProof/>
        </w:rPr>
        <w:tab/>
        <w:t xml:space="preserve">I. Fabijanić, A. Kurutos, A. Tomašić Paić, V. Tadić, F.S. Kamounah, L. Horvat, A. Brozovic, I. Crnolatac, M. Radić Stojković, </w:t>
      </w:r>
      <w:r w:rsidRPr="00496879">
        <w:rPr>
          <w:i/>
          <w:iCs/>
          <w:noProof/>
        </w:rPr>
        <w:t>Biomolecules</w:t>
      </w:r>
      <w:r w:rsidRPr="00496879">
        <w:rPr>
          <w:noProof/>
        </w:rPr>
        <w:t xml:space="preserve"> </w:t>
      </w:r>
      <w:r w:rsidRPr="00496879">
        <w:rPr>
          <w:b/>
          <w:bCs/>
          <w:noProof/>
        </w:rPr>
        <w:t>13</w:t>
      </w:r>
      <w:r w:rsidRPr="00496879">
        <w:rPr>
          <w:noProof/>
        </w:rPr>
        <w:t xml:space="preserve"> (2023).</w:t>
      </w:r>
    </w:p>
    <w:p w14:paraId="0271BE2E"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13.</w:t>
      </w:r>
      <w:r w:rsidRPr="00496879">
        <w:rPr>
          <w:noProof/>
        </w:rPr>
        <w:tab/>
        <w:t xml:space="preserve">T. Šmidlehner, I. Piantanida, G. Pescitelli, </w:t>
      </w:r>
      <w:r w:rsidRPr="00496879">
        <w:rPr>
          <w:i/>
          <w:iCs/>
          <w:noProof/>
        </w:rPr>
        <w:t>Beilstein J. Org. Chem.</w:t>
      </w:r>
      <w:r w:rsidRPr="00496879">
        <w:rPr>
          <w:noProof/>
        </w:rPr>
        <w:t xml:space="preserve"> </w:t>
      </w:r>
      <w:r w:rsidRPr="00496879">
        <w:rPr>
          <w:b/>
          <w:bCs/>
          <w:noProof/>
        </w:rPr>
        <w:t>14</w:t>
      </w:r>
      <w:r w:rsidRPr="00496879">
        <w:rPr>
          <w:noProof/>
        </w:rPr>
        <w:t xml:space="preserve"> (2017) 84–105.</w:t>
      </w:r>
    </w:p>
    <w:p w14:paraId="609990EC"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14.</w:t>
      </w:r>
      <w:r w:rsidRPr="00496879">
        <w:rPr>
          <w:noProof/>
        </w:rPr>
        <w:tab/>
        <w:t>M. Eriksson, B. Nordén, in: Methods Enzymol., 2001, pp. 68–98.</w:t>
      </w:r>
    </w:p>
    <w:p w14:paraId="7E59A000"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15.</w:t>
      </w:r>
      <w:r w:rsidRPr="00496879">
        <w:rPr>
          <w:noProof/>
        </w:rPr>
        <w:tab/>
        <w:t>J. Alaranta, Synthesis of Monomethine Cyanine Dyes and Gold Nanoclusters and Their Applications as Fluorescent Probes Johanna Alaranta Synthesis of Monomethine Cyanine Dyes and Gold Nanoclusters and Their Applications as Fluorescent Probes, 2024.</w:t>
      </w:r>
    </w:p>
    <w:p w14:paraId="4F5C10EB" w14:textId="77777777" w:rsidR="00496879" w:rsidRPr="00496879" w:rsidRDefault="00496879" w:rsidP="00496879">
      <w:pPr>
        <w:widowControl w:val="0"/>
        <w:autoSpaceDE w:val="0"/>
        <w:autoSpaceDN w:val="0"/>
        <w:adjustRightInd w:val="0"/>
        <w:spacing w:line="360" w:lineRule="auto"/>
        <w:ind w:left="640" w:hanging="640"/>
        <w:rPr>
          <w:noProof/>
        </w:rPr>
      </w:pPr>
      <w:r w:rsidRPr="00496879">
        <w:rPr>
          <w:noProof/>
        </w:rPr>
        <w:t>16.</w:t>
      </w:r>
      <w:r w:rsidRPr="00496879">
        <w:rPr>
          <w:noProof/>
        </w:rPr>
        <w:tab/>
        <w:t xml:space="preserve">J.K. Patra, G. Das, L.F. Fraceto, E.V.R. Campos, M.D.P. Rodriguez-Torres, L.S. </w:t>
      </w:r>
      <w:r w:rsidRPr="00496879">
        <w:rPr>
          <w:noProof/>
        </w:rPr>
        <w:lastRenderedPageBreak/>
        <w:t xml:space="preserve">Acosta-Torres, L.A. Diaz-Torres, R. Grillo, M.K. Swamy, S. Sharma, S. Habtemariam, H.S. Shin, </w:t>
      </w:r>
      <w:r w:rsidRPr="00496879">
        <w:rPr>
          <w:i/>
          <w:iCs/>
          <w:noProof/>
        </w:rPr>
        <w:t>J. Nanobiotechnology</w:t>
      </w:r>
      <w:r w:rsidRPr="00496879">
        <w:rPr>
          <w:noProof/>
        </w:rPr>
        <w:t xml:space="preserve"> </w:t>
      </w:r>
      <w:r w:rsidRPr="00496879">
        <w:rPr>
          <w:b/>
          <w:bCs/>
          <w:noProof/>
        </w:rPr>
        <w:t>16</w:t>
      </w:r>
      <w:r w:rsidRPr="00496879">
        <w:rPr>
          <w:noProof/>
        </w:rPr>
        <w:t xml:space="preserve"> (2018) 1–33.</w:t>
      </w:r>
    </w:p>
    <w:p w14:paraId="1BB41700" w14:textId="53A2B7E0" w:rsidR="00476083" w:rsidRPr="00A44071" w:rsidRDefault="00496879" w:rsidP="00013B9F">
      <w:pPr>
        <w:pStyle w:val="OCJENSKIRADOVIOdlomak2OSTALIODLOMCI"/>
        <w:ind w:firstLine="0"/>
      </w:pPr>
      <w:r>
        <w:fldChar w:fldCharType="end"/>
      </w:r>
    </w:p>
    <w:p w14:paraId="3D580E26" w14:textId="490E2E31" w:rsidR="00C96BC2" w:rsidRDefault="00C96BC2" w:rsidP="009A1856">
      <w:pPr>
        <w:pStyle w:val="OCJENSKIRADOVIOdlomak2OSTALIODLOMCI"/>
      </w:pPr>
      <w:r>
        <w:tab/>
      </w:r>
      <w:r>
        <w:tab/>
      </w:r>
      <w:r>
        <w:tab/>
      </w:r>
      <w:r>
        <w:tab/>
      </w:r>
      <w:r>
        <w:tab/>
      </w:r>
      <w:r>
        <w:tab/>
      </w:r>
      <w:r>
        <w:tab/>
      </w:r>
      <w:r>
        <w:tab/>
      </w:r>
      <w:r>
        <w:tab/>
      </w:r>
      <w:r>
        <w:tab/>
      </w:r>
      <w:r>
        <w:tab/>
      </w:r>
      <w:r>
        <w:tab/>
      </w:r>
    </w:p>
    <w:p w14:paraId="04D68146" w14:textId="47F7926E" w:rsidR="00C96BC2" w:rsidRDefault="00C96BC2" w:rsidP="00C96BC2">
      <w:pPr>
        <w:pStyle w:val="OCJENSKIRADOVIOdlomak2OSTALIODLOMCI"/>
        <w:ind w:firstLine="0"/>
      </w:pPr>
    </w:p>
    <w:p w14:paraId="4FF24109" w14:textId="77777777" w:rsidR="00C96BC2" w:rsidRDefault="00C96BC2" w:rsidP="00C96BC2">
      <w:pPr>
        <w:pStyle w:val="OCJENSKIRADOVIOdlomak2OSTALIODLOMCI"/>
        <w:ind w:firstLine="0"/>
      </w:pPr>
    </w:p>
    <w:p w14:paraId="1BB5C5D9" w14:textId="79B21E5D" w:rsidR="00C96BC2" w:rsidRDefault="00C96BC2" w:rsidP="00C96BC2">
      <w:pPr>
        <w:pStyle w:val="OCJENSKIRADOVIOdlomak2OSTALIODLOMCI"/>
        <w:ind w:firstLine="0"/>
      </w:pPr>
    </w:p>
    <w:p w14:paraId="1F6F14FE" w14:textId="77777777" w:rsidR="00C96BC2" w:rsidRDefault="00C96BC2" w:rsidP="00C96BC2">
      <w:pPr>
        <w:pStyle w:val="OCJENSKIRADOVIOdlomak2OSTALIODLOMCI"/>
        <w:ind w:firstLine="0"/>
      </w:pPr>
    </w:p>
    <w:p w14:paraId="633C7966" w14:textId="77777777" w:rsidR="00C96BC2" w:rsidRDefault="00C96BC2" w:rsidP="00C96BC2">
      <w:pPr>
        <w:pStyle w:val="OCJENSKIRADOVIOdlomak2OSTALIODLOMCI"/>
        <w:ind w:firstLine="0"/>
      </w:pPr>
    </w:p>
    <w:p w14:paraId="49FB07DB" w14:textId="77777777" w:rsidR="00EF2376" w:rsidRDefault="00EF2376" w:rsidP="00A907CF">
      <w:pPr>
        <w:pStyle w:val="OCJENSKIRADOVIOdlomak2OSTALIODLOMCI"/>
      </w:pPr>
    </w:p>
    <w:p w14:paraId="3E694143" w14:textId="77777777" w:rsidR="00EF2376" w:rsidRDefault="00EF2376" w:rsidP="00A907CF">
      <w:pPr>
        <w:pStyle w:val="OCJENSKIRADOVIOdlomak2OSTALIODLOMCI"/>
      </w:pPr>
    </w:p>
    <w:p w14:paraId="66F985F9" w14:textId="77777777" w:rsidR="00EF2376" w:rsidRDefault="00EF2376" w:rsidP="00A907CF">
      <w:pPr>
        <w:pStyle w:val="OCJENSKIRADOVIOdlomak2OSTALIODLOMCI"/>
      </w:pPr>
    </w:p>
    <w:p w14:paraId="0D958B1C" w14:textId="77777777" w:rsidR="00EF2376" w:rsidRDefault="00EF2376" w:rsidP="00A907CF">
      <w:pPr>
        <w:pStyle w:val="OCJENSKIRADOVIOdlomak2OSTALIODLOMCI"/>
      </w:pPr>
    </w:p>
    <w:p w14:paraId="4F32D647" w14:textId="7A147A88" w:rsidR="00BD3ED6" w:rsidRDefault="00BD3ED6" w:rsidP="00BD3ED6">
      <w:pPr>
        <w:pStyle w:val="OCJENSKIRADOVIOdlomak2OSTALIODLOMCI"/>
        <w:ind w:firstLine="0"/>
      </w:pPr>
    </w:p>
    <w:sectPr w:rsidR="00BD3ED6" w:rsidSect="00CF6BB4">
      <w:headerReference w:type="default" r:id="rId24"/>
      <w:pgSz w:w="11907" w:h="16840" w:code="9"/>
      <w:pgMar w:top="1701" w:right="1418" w:bottom="1701" w:left="1418" w:header="1134" w:footer="1134" w:gutter="0"/>
      <w:pgNumType w:fmt="lowerRoman"/>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658A7C" w16cex:dateUtc="2026-03-24T10:18:00Z"/>
  <w16cex:commentExtensible w16cex:durableId="251D6092" w16cex:dateUtc="2026-03-24T10:56:00Z"/>
  <w16cex:commentExtensible w16cex:durableId="214FF21B" w16cex:dateUtc="2026-03-24T10:32:00Z"/>
  <w16cex:commentExtensible w16cex:durableId="0E8613AB" w16cex:dateUtc="2026-03-24T11:16:00Z"/>
  <w16cex:commentExtensible w16cex:durableId="2E8A08FE" w16cex:dateUtc="2026-03-24T12:09:00Z"/>
  <w16cex:commentExtensible w16cex:durableId="6A37F030" w16cex:dateUtc="2026-03-24T12:25:00Z"/>
  <w16cex:commentExtensible w16cex:durableId="252294F6" w16cex:dateUtc="2026-03-24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5F9BAD" w16cid:durableId="2B658A7C"/>
  <w16cid:commentId w16cid:paraId="4D9ED27B" w16cid:durableId="251D6092"/>
  <w16cid:commentId w16cid:paraId="1372C46C" w16cid:durableId="214FF21B"/>
  <w16cid:commentId w16cid:paraId="596B2289" w16cid:durableId="0E8613AB"/>
  <w16cid:commentId w16cid:paraId="19242C5D" w16cid:durableId="2E8A08FE"/>
  <w16cid:commentId w16cid:paraId="2B11BB3F" w16cid:durableId="6A37F030"/>
  <w16cid:commentId w16cid:paraId="18153416" w16cid:durableId="252294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4CA81" w14:textId="77777777" w:rsidR="00AA4BA9" w:rsidRDefault="00AA4BA9">
      <w:r>
        <w:separator/>
      </w:r>
    </w:p>
    <w:p w14:paraId="62F97C2C" w14:textId="77777777" w:rsidR="00AA4BA9" w:rsidRDefault="00AA4BA9"/>
    <w:p w14:paraId="181D7E80" w14:textId="77777777" w:rsidR="00AA4BA9" w:rsidRDefault="00AA4BA9"/>
  </w:endnote>
  <w:endnote w:type="continuationSeparator" w:id="0">
    <w:p w14:paraId="6AC7D78E" w14:textId="77777777" w:rsidR="00AA4BA9" w:rsidRDefault="00AA4BA9">
      <w:r>
        <w:continuationSeparator/>
      </w:r>
    </w:p>
    <w:p w14:paraId="0FA55A8D" w14:textId="77777777" w:rsidR="00AA4BA9" w:rsidRDefault="00AA4BA9"/>
    <w:p w14:paraId="558F7F5B" w14:textId="77777777" w:rsidR="00AA4BA9" w:rsidRDefault="00AA4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7391F" w14:textId="77777777" w:rsidR="00D7721A" w:rsidRPr="00B75EF3" w:rsidRDefault="00D7721A" w:rsidP="003F1372">
    <w:pPr>
      <w:pStyle w:val="OCJENSKIRADOVI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790DE" w14:textId="77777777" w:rsidR="00AA4BA9" w:rsidRDefault="00AA4BA9">
      <w:r>
        <w:separator/>
      </w:r>
    </w:p>
    <w:p w14:paraId="44BD62F3" w14:textId="77777777" w:rsidR="00AA4BA9" w:rsidRDefault="00AA4BA9"/>
    <w:p w14:paraId="3089D700" w14:textId="77777777" w:rsidR="00AA4BA9" w:rsidRDefault="00AA4BA9"/>
  </w:footnote>
  <w:footnote w:type="continuationSeparator" w:id="0">
    <w:p w14:paraId="1D50CCD1" w14:textId="77777777" w:rsidR="00AA4BA9" w:rsidRDefault="00AA4BA9">
      <w:r>
        <w:continuationSeparator/>
      </w:r>
    </w:p>
    <w:p w14:paraId="3FCE3EEC" w14:textId="77777777" w:rsidR="00AA4BA9" w:rsidRDefault="00AA4BA9"/>
    <w:p w14:paraId="6650CB22" w14:textId="77777777" w:rsidR="00AA4BA9" w:rsidRDefault="00AA4B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E014" w14:textId="77777777" w:rsidR="00D7721A" w:rsidRPr="00B75EF3" w:rsidRDefault="00D7721A" w:rsidP="003F1372">
    <w:pPr>
      <w:pStyle w:val="OCJENSKIRADOVI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F4077" w14:textId="41A2EB11" w:rsidR="00D7721A" w:rsidRPr="00C9165C" w:rsidRDefault="124F7461" w:rsidP="124F7461">
    <w:pPr>
      <w:pStyle w:val="OCJENSKIRADOVIHeader"/>
      <w:pBdr>
        <w:bottom w:val="single" w:sz="4" w:space="1" w:color="auto"/>
      </w:pBdr>
      <w:rPr>
        <w:lang w:val="en-US"/>
      </w:rPr>
    </w:pPr>
    <w:r w:rsidRPr="124F7461">
      <w:rPr>
        <w:lang w:val="en-US"/>
      </w:rPr>
      <w:t xml:space="preserve">§ </w:t>
    </w:r>
    <w:r w:rsidR="00BD3ED6">
      <w:rPr>
        <w:lang w:val="en-US"/>
      </w:rPr>
      <w:t>2. Literaturni pregled</w:t>
    </w:r>
    <w:r w:rsidR="00D7721A">
      <w:tab/>
    </w:r>
    <w:r w:rsidR="00D7721A" w:rsidRPr="124F7461">
      <w:rPr>
        <w:noProof/>
        <w:lang w:val="en-US"/>
      </w:rPr>
      <w:fldChar w:fldCharType="begin"/>
    </w:r>
    <w:r w:rsidR="00D7721A">
      <w:instrText xml:space="preserve"> PAGE </w:instrText>
    </w:r>
    <w:r w:rsidR="00D7721A" w:rsidRPr="124F7461">
      <w:fldChar w:fldCharType="separate"/>
    </w:r>
    <w:r w:rsidR="004B10C7">
      <w:rPr>
        <w:noProof/>
      </w:rPr>
      <w:t>11</w:t>
    </w:r>
    <w:r w:rsidR="00D7721A" w:rsidRPr="124F7461">
      <w:rPr>
        <w:noProof/>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1DB84" w14:textId="075519F9" w:rsidR="00D7721A" w:rsidRPr="00C9165C" w:rsidRDefault="124F7461" w:rsidP="124F7461">
    <w:pPr>
      <w:pStyle w:val="OCJENSKIRADOVIHeader"/>
      <w:pBdr>
        <w:bottom w:val="single" w:sz="4" w:space="1" w:color="auto"/>
      </w:pBdr>
      <w:rPr>
        <w:lang w:val="en-US"/>
      </w:rPr>
    </w:pPr>
    <w:r w:rsidRPr="124F7461">
      <w:rPr>
        <w:lang w:val="en-US"/>
      </w:rPr>
      <w:t xml:space="preserve">§ </w:t>
    </w:r>
    <w:r w:rsidR="00BD3ED6">
      <w:rPr>
        <w:lang w:val="en-US"/>
      </w:rPr>
      <w:t>4. Literaturni izvori</w:t>
    </w:r>
    <w:r w:rsidR="00D7721A">
      <w:tab/>
    </w:r>
    <w:r w:rsidR="00D7721A" w:rsidRPr="124F7461">
      <w:rPr>
        <w:noProof/>
        <w:lang w:val="en-US"/>
      </w:rPr>
      <w:fldChar w:fldCharType="begin"/>
    </w:r>
    <w:r w:rsidR="00D7721A">
      <w:instrText xml:space="preserve"> PAGE </w:instrText>
    </w:r>
    <w:r w:rsidR="00D7721A" w:rsidRPr="124F7461">
      <w:fldChar w:fldCharType="separate"/>
    </w:r>
    <w:r w:rsidR="004B10C7">
      <w:rPr>
        <w:noProof/>
      </w:rPr>
      <w:t>xviii</w:t>
    </w:r>
    <w:r w:rsidR="00D7721A" w:rsidRPr="124F7461">
      <w:rPr>
        <w:noProof/>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5800CEE"/>
    <w:lvl w:ilvl="0">
      <w:start w:val="1"/>
      <w:numFmt w:val="decimal"/>
      <w:lvlText w:val="%1."/>
      <w:lvlJc w:val="left"/>
      <w:pPr>
        <w:tabs>
          <w:tab w:val="num" w:pos="360"/>
        </w:tabs>
        <w:ind w:left="360" w:hanging="360"/>
      </w:pPr>
    </w:lvl>
  </w:abstractNum>
  <w:abstractNum w:abstractNumId="1" w15:restartNumberingAfterBreak="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15:restartNumberingAfterBreak="0">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Zadatak %1.%2."/>
      <w:lvlJc w:val="left"/>
      <w:pPr>
        <w:tabs>
          <w:tab w:val="num" w:pos="1021"/>
        </w:tabs>
      </w:pPr>
      <w:rPr>
        <w:rFonts w:hint="default"/>
        <w:b/>
        <w:bCs/>
        <w:i w:val="0"/>
        <w:iCs w:val="0"/>
      </w:rPr>
    </w:lvl>
    <w:lvl w:ilvl="2">
      <w:start w:val="1"/>
      <w:numFmt w:val="decimal"/>
      <w:lvlText w:val="%1.%2.%3."/>
      <w:lvlJc w:val="left"/>
      <w:pPr>
        <w:tabs>
          <w:tab w:val="num" w:pos="1800"/>
        </w:tabs>
        <w:ind w:left="144" w:hanging="504"/>
      </w:pPr>
      <w:rPr>
        <w:rFonts w:hint="default"/>
      </w:rPr>
    </w:lvl>
    <w:lvl w:ilvl="3">
      <w:start w:val="1"/>
      <w:numFmt w:val="decimal"/>
      <w:lvlRestart w:val="0"/>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4" w15:restartNumberingAfterBreak="0">
    <w:nsid w:val="08334F49"/>
    <w:multiLevelType w:val="hybridMultilevel"/>
    <w:tmpl w:val="BAB0907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6" w15:restartNumberingAfterBreak="0">
    <w:nsid w:val="130A2D8E"/>
    <w:multiLevelType w:val="hybridMultilevel"/>
    <w:tmpl w:val="B5C4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8" w15:restartNumberingAfterBreak="0">
    <w:nsid w:val="1D225EE7"/>
    <w:multiLevelType w:val="multilevel"/>
    <w:tmpl w:val="341A2FEE"/>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29456861"/>
    <w:multiLevelType w:val="multilevel"/>
    <w:tmpl w:val="E3DC2772"/>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FEA57E6"/>
    <w:multiLevelType w:val="hybridMultilevel"/>
    <w:tmpl w:val="0C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03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3"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5" w15:restartNumberingAfterBreak="0">
    <w:nsid w:val="45340C49"/>
    <w:multiLevelType w:val="multilevel"/>
    <w:tmpl w:val="08ECC2E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46892FA1"/>
    <w:multiLevelType w:val="multilevel"/>
    <w:tmpl w:val="CB202A28"/>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8" w15:restartNumberingAfterBreak="0">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9" w15:restartNumberingAfterBreak="0">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0"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21" w15:restartNumberingAfterBreak="0">
    <w:nsid w:val="63242480"/>
    <w:multiLevelType w:val="multilevel"/>
    <w:tmpl w:val="1B18C636"/>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0"/>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63A04604"/>
    <w:multiLevelType w:val="hybridMultilevel"/>
    <w:tmpl w:val="33C466B6"/>
    <w:lvl w:ilvl="0" w:tplc="1AA0E02C">
      <w:start w:val="1"/>
      <w:numFmt w:val="decimal"/>
      <w:lvlText w:val="Zadatak %1."/>
      <w:lvlJc w:val="left"/>
      <w:pPr>
        <w:tabs>
          <w:tab w:val="num" w:pos="1080"/>
        </w:tabs>
        <w:ind w:left="108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665D3BE0"/>
    <w:multiLevelType w:val="multilevel"/>
    <w:tmpl w:val="04090023"/>
    <w:lvl w:ilvl="0">
      <w:start w:val="1"/>
      <w:numFmt w:val="upperRoman"/>
      <w:pStyle w:val="Heading1"/>
      <w:lvlText w:val="Article %1."/>
      <w:lvlJc w:val="left"/>
      <w:pPr>
        <w:tabs>
          <w:tab w:val="num" w:pos="1800"/>
        </w:tabs>
      </w:pPr>
    </w:lvl>
    <w:lvl w:ilvl="1">
      <w:start w:val="1"/>
      <w:numFmt w:val="decimalZero"/>
      <w:pStyle w:val="Heading2"/>
      <w:isLgl/>
      <w:lvlText w:val="Section %1.%2"/>
      <w:lvlJc w:val="left"/>
      <w:pPr>
        <w:tabs>
          <w:tab w:val="num" w:pos="1800"/>
        </w:tabs>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010949"/>
    <w:multiLevelType w:val="multilevel"/>
    <w:tmpl w:val="3878B3BC"/>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15:restartNumberingAfterBreak="0">
    <w:nsid w:val="7080335B"/>
    <w:multiLevelType w:val="multilevel"/>
    <w:tmpl w:val="FB60507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7" w15:restartNumberingAfterBreak="0">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8" w15:restartNumberingAfterBreak="0">
    <w:nsid w:val="75731BC2"/>
    <w:multiLevelType w:val="multilevel"/>
    <w:tmpl w:val="6BDAE712"/>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9" w15:restartNumberingAfterBreak="0">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0" w15:restartNumberingAfterBreak="0">
    <w:nsid w:val="7E026C21"/>
    <w:multiLevelType w:val="multilevel"/>
    <w:tmpl w:val="DEB8C8BE"/>
    <w:lvl w:ilvl="0">
      <w:start w:val="1"/>
      <w:numFmt w:val="decimal"/>
      <w:lvlText w:val="Zadatak %1."/>
      <w:lvlJc w:val="left"/>
      <w:pPr>
        <w:tabs>
          <w:tab w:val="num" w:pos="1080"/>
        </w:tabs>
        <w:ind w:left="1080" w:hanging="360"/>
      </w:pPr>
      <w:rPr>
        <w:rFonts w:hint="default"/>
        <w:b/>
        <w:bCs/>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abstractNumId w:val="3"/>
  </w:num>
  <w:num w:numId="2">
    <w:abstractNumId w:val="23"/>
  </w:num>
  <w:num w:numId="3">
    <w:abstractNumId w:val="1"/>
  </w:num>
  <w:num w:numId="4">
    <w:abstractNumId w:val="24"/>
  </w:num>
  <w:num w:numId="5">
    <w:abstractNumId w:val="22"/>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30"/>
  </w:num>
  <w:num w:numId="11">
    <w:abstractNumId w:val="22"/>
    <w:lvlOverride w:ilvl="0">
      <w:startOverride w:val="1"/>
    </w:lvlOverride>
  </w:num>
  <w:num w:numId="12">
    <w:abstractNumId w:val="7"/>
  </w:num>
  <w:num w:numId="13">
    <w:abstractNumId w:val="14"/>
  </w:num>
  <w:num w:numId="1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21"/>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num>
  <w:num w:numId="22">
    <w:abstractNumId w:val="2"/>
  </w:num>
  <w:num w:numId="23">
    <w:abstractNumId w:val="10"/>
  </w:num>
  <w:num w:numId="24">
    <w:abstractNumId w:val="28"/>
  </w:num>
  <w:num w:numId="25">
    <w:abstractNumId w:val="12"/>
  </w:num>
  <w:num w:numId="26">
    <w:abstractNumId w:val="18"/>
  </w:num>
  <w:num w:numId="27">
    <w:abstractNumId w:val="19"/>
  </w:num>
  <w:num w:numId="28">
    <w:abstractNumId w:val="27"/>
  </w:num>
  <w:num w:numId="29">
    <w:abstractNumId w:val="31"/>
  </w:num>
  <w:num w:numId="30">
    <w:abstractNumId w:val="5"/>
  </w:num>
  <w:num w:numId="31">
    <w:abstractNumId w:val="26"/>
  </w:num>
  <w:num w:numId="32">
    <w:abstractNumId w:val="20"/>
  </w:num>
  <w:num w:numId="33">
    <w:abstractNumId w:val="13"/>
  </w:num>
  <w:num w:numId="34">
    <w:abstractNumId w:val="17"/>
  </w:num>
  <w:num w:numId="35">
    <w:abstractNumId w:val="29"/>
  </w:num>
  <w:num w:numId="36">
    <w:abstractNumId w:val="11"/>
  </w:num>
  <w:num w:numId="37">
    <w:abstractNumId w:val="6"/>
  </w:num>
  <w:num w:numId="38">
    <w:abstractNumId w:val="4"/>
  </w:num>
  <w:num w:numId="39">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0">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lignBordersAndEdges/>
  <w:bordersDoNotSurroundHeader/>
  <w:bordersDoNotSurroundFooter/>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B2"/>
    <w:rsid w:val="0000068D"/>
    <w:rsid w:val="00001140"/>
    <w:rsid w:val="000016E6"/>
    <w:rsid w:val="00001826"/>
    <w:rsid w:val="00001F5C"/>
    <w:rsid w:val="000028F9"/>
    <w:rsid w:val="00003D1D"/>
    <w:rsid w:val="00004E72"/>
    <w:rsid w:val="00005452"/>
    <w:rsid w:val="000059D3"/>
    <w:rsid w:val="000079A1"/>
    <w:rsid w:val="00010567"/>
    <w:rsid w:val="00010671"/>
    <w:rsid w:val="00011584"/>
    <w:rsid w:val="00012199"/>
    <w:rsid w:val="00012FE2"/>
    <w:rsid w:val="00013A34"/>
    <w:rsid w:val="00013B9F"/>
    <w:rsid w:val="00014AE2"/>
    <w:rsid w:val="00015087"/>
    <w:rsid w:val="000153BE"/>
    <w:rsid w:val="0001579E"/>
    <w:rsid w:val="000158C1"/>
    <w:rsid w:val="00017088"/>
    <w:rsid w:val="00020583"/>
    <w:rsid w:val="0002113C"/>
    <w:rsid w:val="0002228E"/>
    <w:rsid w:val="00022582"/>
    <w:rsid w:val="000225BA"/>
    <w:rsid w:val="00022B84"/>
    <w:rsid w:val="000230CE"/>
    <w:rsid w:val="000243A3"/>
    <w:rsid w:val="00024E6A"/>
    <w:rsid w:val="00025453"/>
    <w:rsid w:val="000260CF"/>
    <w:rsid w:val="00026D5D"/>
    <w:rsid w:val="000314D7"/>
    <w:rsid w:val="00031620"/>
    <w:rsid w:val="00031A70"/>
    <w:rsid w:val="00031AD5"/>
    <w:rsid w:val="00031C8D"/>
    <w:rsid w:val="00031FC0"/>
    <w:rsid w:val="00032475"/>
    <w:rsid w:val="00032F49"/>
    <w:rsid w:val="00034478"/>
    <w:rsid w:val="00034A31"/>
    <w:rsid w:val="0003575E"/>
    <w:rsid w:val="00035BD5"/>
    <w:rsid w:val="00035C11"/>
    <w:rsid w:val="00035C47"/>
    <w:rsid w:val="00035E42"/>
    <w:rsid w:val="00036247"/>
    <w:rsid w:val="00037376"/>
    <w:rsid w:val="00037433"/>
    <w:rsid w:val="0004045E"/>
    <w:rsid w:val="000405ED"/>
    <w:rsid w:val="00040971"/>
    <w:rsid w:val="00041202"/>
    <w:rsid w:val="00041270"/>
    <w:rsid w:val="000413DC"/>
    <w:rsid w:val="00042CDD"/>
    <w:rsid w:val="0004316F"/>
    <w:rsid w:val="00043222"/>
    <w:rsid w:val="000446A0"/>
    <w:rsid w:val="00044C34"/>
    <w:rsid w:val="0004585E"/>
    <w:rsid w:val="00045B9A"/>
    <w:rsid w:val="00045F5D"/>
    <w:rsid w:val="00047D43"/>
    <w:rsid w:val="00047E55"/>
    <w:rsid w:val="000505FA"/>
    <w:rsid w:val="00050899"/>
    <w:rsid w:val="00050C16"/>
    <w:rsid w:val="00050DA7"/>
    <w:rsid w:val="00051728"/>
    <w:rsid w:val="000518BA"/>
    <w:rsid w:val="00052387"/>
    <w:rsid w:val="000523C5"/>
    <w:rsid w:val="00052D47"/>
    <w:rsid w:val="00053121"/>
    <w:rsid w:val="000531FE"/>
    <w:rsid w:val="00053E62"/>
    <w:rsid w:val="00055BFD"/>
    <w:rsid w:val="00055DB1"/>
    <w:rsid w:val="00056560"/>
    <w:rsid w:val="00057022"/>
    <w:rsid w:val="00060295"/>
    <w:rsid w:val="000603C6"/>
    <w:rsid w:val="0006073F"/>
    <w:rsid w:val="00060EB5"/>
    <w:rsid w:val="000610BC"/>
    <w:rsid w:val="000622C1"/>
    <w:rsid w:val="000640E7"/>
    <w:rsid w:val="00064C2C"/>
    <w:rsid w:val="000659AE"/>
    <w:rsid w:val="0006616B"/>
    <w:rsid w:val="000663D7"/>
    <w:rsid w:val="00067AD0"/>
    <w:rsid w:val="00070565"/>
    <w:rsid w:val="0007081E"/>
    <w:rsid w:val="00071649"/>
    <w:rsid w:val="000717E8"/>
    <w:rsid w:val="00073AB1"/>
    <w:rsid w:val="00074541"/>
    <w:rsid w:val="00075792"/>
    <w:rsid w:val="0007635F"/>
    <w:rsid w:val="0007670F"/>
    <w:rsid w:val="000771D9"/>
    <w:rsid w:val="00077A85"/>
    <w:rsid w:val="0008046E"/>
    <w:rsid w:val="00080A13"/>
    <w:rsid w:val="00081241"/>
    <w:rsid w:val="00081B81"/>
    <w:rsid w:val="00082E76"/>
    <w:rsid w:val="00083526"/>
    <w:rsid w:val="0008490E"/>
    <w:rsid w:val="00085013"/>
    <w:rsid w:val="00085BB7"/>
    <w:rsid w:val="00085C7C"/>
    <w:rsid w:val="0008725E"/>
    <w:rsid w:val="00091973"/>
    <w:rsid w:val="00091DBA"/>
    <w:rsid w:val="0009307D"/>
    <w:rsid w:val="0009394D"/>
    <w:rsid w:val="00094480"/>
    <w:rsid w:val="00094FF4"/>
    <w:rsid w:val="00095E32"/>
    <w:rsid w:val="000967AD"/>
    <w:rsid w:val="00097712"/>
    <w:rsid w:val="000A025F"/>
    <w:rsid w:val="000A051B"/>
    <w:rsid w:val="000A09AC"/>
    <w:rsid w:val="000A0FDD"/>
    <w:rsid w:val="000A366F"/>
    <w:rsid w:val="000A4108"/>
    <w:rsid w:val="000A54A8"/>
    <w:rsid w:val="000A67A3"/>
    <w:rsid w:val="000A6DA3"/>
    <w:rsid w:val="000A7D1D"/>
    <w:rsid w:val="000B01C8"/>
    <w:rsid w:val="000B0A6D"/>
    <w:rsid w:val="000B1871"/>
    <w:rsid w:val="000B3A7A"/>
    <w:rsid w:val="000B3A7B"/>
    <w:rsid w:val="000B4AD0"/>
    <w:rsid w:val="000B5D0E"/>
    <w:rsid w:val="000B69A4"/>
    <w:rsid w:val="000B7874"/>
    <w:rsid w:val="000B7C9B"/>
    <w:rsid w:val="000C0323"/>
    <w:rsid w:val="000C06FF"/>
    <w:rsid w:val="000C16C6"/>
    <w:rsid w:val="000C170D"/>
    <w:rsid w:val="000C175A"/>
    <w:rsid w:val="000C25DE"/>
    <w:rsid w:val="000C5F5D"/>
    <w:rsid w:val="000C6937"/>
    <w:rsid w:val="000C6CED"/>
    <w:rsid w:val="000C6F86"/>
    <w:rsid w:val="000C7199"/>
    <w:rsid w:val="000C7817"/>
    <w:rsid w:val="000D1039"/>
    <w:rsid w:val="000D45A0"/>
    <w:rsid w:val="000D5F0E"/>
    <w:rsid w:val="000D5F9C"/>
    <w:rsid w:val="000D6A67"/>
    <w:rsid w:val="000D6F61"/>
    <w:rsid w:val="000D76A4"/>
    <w:rsid w:val="000D7911"/>
    <w:rsid w:val="000E00CC"/>
    <w:rsid w:val="000E08FA"/>
    <w:rsid w:val="000E2527"/>
    <w:rsid w:val="000E2BEF"/>
    <w:rsid w:val="000E2E8D"/>
    <w:rsid w:val="000E3C21"/>
    <w:rsid w:val="000E49D1"/>
    <w:rsid w:val="000E62DC"/>
    <w:rsid w:val="000E6C58"/>
    <w:rsid w:val="000E7F3E"/>
    <w:rsid w:val="000F08C6"/>
    <w:rsid w:val="000F2FDA"/>
    <w:rsid w:val="000F49D8"/>
    <w:rsid w:val="000F52EA"/>
    <w:rsid w:val="000F7126"/>
    <w:rsid w:val="001005A5"/>
    <w:rsid w:val="00100621"/>
    <w:rsid w:val="0010066C"/>
    <w:rsid w:val="0010070A"/>
    <w:rsid w:val="0010071A"/>
    <w:rsid w:val="00102E3B"/>
    <w:rsid w:val="001036E1"/>
    <w:rsid w:val="0010465C"/>
    <w:rsid w:val="00105581"/>
    <w:rsid w:val="00105694"/>
    <w:rsid w:val="0010693B"/>
    <w:rsid w:val="0010712A"/>
    <w:rsid w:val="0010722B"/>
    <w:rsid w:val="00107997"/>
    <w:rsid w:val="00107E00"/>
    <w:rsid w:val="0011034D"/>
    <w:rsid w:val="00110513"/>
    <w:rsid w:val="00111A50"/>
    <w:rsid w:val="00111C8F"/>
    <w:rsid w:val="00113190"/>
    <w:rsid w:val="00113F33"/>
    <w:rsid w:val="00114144"/>
    <w:rsid w:val="00115257"/>
    <w:rsid w:val="00115F45"/>
    <w:rsid w:val="001160F8"/>
    <w:rsid w:val="00116FEE"/>
    <w:rsid w:val="00117700"/>
    <w:rsid w:val="0011771B"/>
    <w:rsid w:val="001179AC"/>
    <w:rsid w:val="001201C1"/>
    <w:rsid w:val="001202C3"/>
    <w:rsid w:val="00120AB1"/>
    <w:rsid w:val="001234B7"/>
    <w:rsid w:val="00123856"/>
    <w:rsid w:val="00123B44"/>
    <w:rsid w:val="00124243"/>
    <w:rsid w:val="00126A62"/>
    <w:rsid w:val="00127888"/>
    <w:rsid w:val="00127DD2"/>
    <w:rsid w:val="00130BD8"/>
    <w:rsid w:val="00131854"/>
    <w:rsid w:val="0013396E"/>
    <w:rsid w:val="001345FE"/>
    <w:rsid w:val="0013496E"/>
    <w:rsid w:val="00135431"/>
    <w:rsid w:val="00135809"/>
    <w:rsid w:val="00135AE6"/>
    <w:rsid w:val="00136601"/>
    <w:rsid w:val="001408BD"/>
    <w:rsid w:val="00140F3A"/>
    <w:rsid w:val="00141991"/>
    <w:rsid w:val="00141DC9"/>
    <w:rsid w:val="00142971"/>
    <w:rsid w:val="00143B40"/>
    <w:rsid w:val="001475B3"/>
    <w:rsid w:val="00147800"/>
    <w:rsid w:val="0014784A"/>
    <w:rsid w:val="00150D60"/>
    <w:rsid w:val="00151040"/>
    <w:rsid w:val="00152113"/>
    <w:rsid w:val="001524F8"/>
    <w:rsid w:val="001530D9"/>
    <w:rsid w:val="001558DB"/>
    <w:rsid w:val="0015657C"/>
    <w:rsid w:val="001565B6"/>
    <w:rsid w:val="00156FEF"/>
    <w:rsid w:val="00157A7F"/>
    <w:rsid w:val="00161AC9"/>
    <w:rsid w:val="001628A7"/>
    <w:rsid w:val="00162C45"/>
    <w:rsid w:val="00163F1C"/>
    <w:rsid w:val="00163F41"/>
    <w:rsid w:val="001648B5"/>
    <w:rsid w:val="00164A55"/>
    <w:rsid w:val="00164D2E"/>
    <w:rsid w:val="00165AAB"/>
    <w:rsid w:val="00165DD2"/>
    <w:rsid w:val="0016622C"/>
    <w:rsid w:val="00167C97"/>
    <w:rsid w:val="00167FEB"/>
    <w:rsid w:val="001705C8"/>
    <w:rsid w:val="0017067D"/>
    <w:rsid w:val="001706B4"/>
    <w:rsid w:val="00170889"/>
    <w:rsid w:val="00170B2C"/>
    <w:rsid w:val="00171381"/>
    <w:rsid w:val="00171A55"/>
    <w:rsid w:val="00171E1F"/>
    <w:rsid w:val="00172000"/>
    <w:rsid w:val="0017207E"/>
    <w:rsid w:val="001725EC"/>
    <w:rsid w:val="00173E58"/>
    <w:rsid w:val="0017406D"/>
    <w:rsid w:val="00174D55"/>
    <w:rsid w:val="00175633"/>
    <w:rsid w:val="00175D98"/>
    <w:rsid w:val="00176E64"/>
    <w:rsid w:val="00177094"/>
    <w:rsid w:val="001771F9"/>
    <w:rsid w:val="00180148"/>
    <w:rsid w:val="0018084D"/>
    <w:rsid w:val="001809F1"/>
    <w:rsid w:val="00182924"/>
    <w:rsid w:val="00183415"/>
    <w:rsid w:val="001847C4"/>
    <w:rsid w:val="00186036"/>
    <w:rsid w:val="001862E6"/>
    <w:rsid w:val="00186945"/>
    <w:rsid w:val="00190BBD"/>
    <w:rsid w:val="0019126B"/>
    <w:rsid w:val="00193C88"/>
    <w:rsid w:val="00195AED"/>
    <w:rsid w:val="0019787D"/>
    <w:rsid w:val="001A0ED1"/>
    <w:rsid w:val="001A1163"/>
    <w:rsid w:val="001A1261"/>
    <w:rsid w:val="001A2C6B"/>
    <w:rsid w:val="001A2EF8"/>
    <w:rsid w:val="001A3B66"/>
    <w:rsid w:val="001A6751"/>
    <w:rsid w:val="001A6C88"/>
    <w:rsid w:val="001A7952"/>
    <w:rsid w:val="001B0A8D"/>
    <w:rsid w:val="001B1961"/>
    <w:rsid w:val="001B26CD"/>
    <w:rsid w:val="001B2FD6"/>
    <w:rsid w:val="001B364B"/>
    <w:rsid w:val="001B3CB5"/>
    <w:rsid w:val="001B45D9"/>
    <w:rsid w:val="001B47F4"/>
    <w:rsid w:val="001B4907"/>
    <w:rsid w:val="001B4FA6"/>
    <w:rsid w:val="001B582C"/>
    <w:rsid w:val="001B5EFC"/>
    <w:rsid w:val="001B6C2C"/>
    <w:rsid w:val="001B6E1D"/>
    <w:rsid w:val="001B7C8A"/>
    <w:rsid w:val="001C0A90"/>
    <w:rsid w:val="001C0C0B"/>
    <w:rsid w:val="001C11DC"/>
    <w:rsid w:val="001C18B7"/>
    <w:rsid w:val="001C1954"/>
    <w:rsid w:val="001C2086"/>
    <w:rsid w:val="001C29A5"/>
    <w:rsid w:val="001C2EA2"/>
    <w:rsid w:val="001C31BB"/>
    <w:rsid w:val="001C49F3"/>
    <w:rsid w:val="001C54AB"/>
    <w:rsid w:val="001C5C89"/>
    <w:rsid w:val="001C6639"/>
    <w:rsid w:val="001C66FA"/>
    <w:rsid w:val="001C6CE0"/>
    <w:rsid w:val="001D0654"/>
    <w:rsid w:val="001D1D0D"/>
    <w:rsid w:val="001D2D60"/>
    <w:rsid w:val="001D2FA9"/>
    <w:rsid w:val="001D3CBA"/>
    <w:rsid w:val="001D4FC7"/>
    <w:rsid w:val="001D74CF"/>
    <w:rsid w:val="001E012C"/>
    <w:rsid w:val="001E3FD6"/>
    <w:rsid w:val="001E477B"/>
    <w:rsid w:val="001E5414"/>
    <w:rsid w:val="001E550E"/>
    <w:rsid w:val="001E5843"/>
    <w:rsid w:val="001E6339"/>
    <w:rsid w:val="001E70F5"/>
    <w:rsid w:val="001E79DE"/>
    <w:rsid w:val="001E7C2D"/>
    <w:rsid w:val="001F01CE"/>
    <w:rsid w:val="001F0796"/>
    <w:rsid w:val="001F0BE9"/>
    <w:rsid w:val="001F0EBE"/>
    <w:rsid w:val="001F23B4"/>
    <w:rsid w:val="001F4680"/>
    <w:rsid w:val="001F49E8"/>
    <w:rsid w:val="001F6995"/>
    <w:rsid w:val="001F6B89"/>
    <w:rsid w:val="001F6B9C"/>
    <w:rsid w:val="001F728C"/>
    <w:rsid w:val="001F77D7"/>
    <w:rsid w:val="001F7854"/>
    <w:rsid w:val="0020025F"/>
    <w:rsid w:val="002002D9"/>
    <w:rsid w:val="00200CD9"/>
    <w:rsid w:val="0020256F"/>
    <w:rsid w:val="00202633"/>
    <w:rsid w:val="00204399"/>
    <w:rsid w:val="002052F3"/>
    <w:rsid w:val="00206DAC"/>
    <w:rsid w:val="00210410"/>
    <w:rsid w:val="00210DAF"/>
    <w:rsid w:val="002123EA"/>
    <w:rsid w:val="00213B47"/>
    <w:rsid w:val="00213B52"/>
    <w:rsid w:val="00215CC0"/>
    <w:rsid w:val="00217B5D"/>
    <w:rsid w:val="00220590"/>
    <w:rsid w:val="0022071A"/>
    <w:rsid w:val="00220AF1"/>
    <w:rsid w:val="00221041"/>
    <w:rsid w:val="00222D15"/>
    <w:rsid w:val="00223B46"/>
    <w:rsid w:val="002246CF"/>
    <w:rsid w:val="0022632F"/>
    <w:rsid w:val="00227101"/>
    <w:rsid w:val="00227A63"/>
    <w:rsid w:val="002309A9"/>
    <w:rsid w:val="00230C04"/>
    <w:rsid w:val="00230CA5"/>
    <w:rsid w:val="00230CAC"/>
    <w:rsid w:val="00230E78"/>
    <w:rsid w:val="002310AA"/>
    <w:rsid w:val="002317DA"/>
    <w:rsid w:val="00233689"/>
    <w:rsid w:val="00233E08"/>
    <w:rsid w:val="00233EBB"/>
    <w:rsid w:val="00233F8C"/>
    <w:rsid w:val="0023583E"/>
    <w:rsid w:val="002365BE"/>
    <w:rsid w:val="00237026"/>
    <w:rsid w:val="0023757B"/>
    <w:rsid w:val="00237B48"/>
    <w:rsid w:val="002405CB"/>
    <w:rsid w:val="002419EB"/>
    <w:rsid w:val="0024360B"/>
    <w:rsid w:val="00243E86"/>
    <w:rsid w:val="002443E5"/>
    <w:rsid w:val="00244FE6"/>
    <w:rsid w:val="00245936"/>
    <w:rsid w:val="00245B76"/>
    <w:rsid w:val="00245CF4"/>
    <w:rsid w:val="00246969"/>
    <w:rsid w:val="0024731A"/>
    <w:rsid w:val="00251193"/>
    <w:rsid w:val="00251CAF"/>
    <w:rsid w:val="00252A4D"/>
    <w:rsid w:val="0025364E"/>
    <w:rsid w:val="00254C14"/>
    <w:rsid w:val="002564A6"/>
    <w:rsid w:val="00256CE8"/>
    <w:rsid w:val="00257053"/>
    <w:rsid w:val="0026004A"/>
    <w:rsid w:val="00261A15"/>
    <w:rsid w:val="00262CA3"/>
    <w:rsid w:val="00262FBC"/>
    <w:rsid w:val="00263AA0"/>
    <w:rsid w:val="00265509"/>
    <w:rsid w:val="00265879"/>
    <w:rsid w:val="00266C83"/>
    <w:rsid w:val="00266DFB"/>
    <w:rsid w:val="00267DAB"/>
    <w:rsid w:val="00270DB0"/>
    <w:rsid w:val="002724A4"/>
    <w:rsid w:val="00272758"/>
    <w:rsid w:val="002736DB"/>
    <w:rsid w:val="0027468E"/>
    <w:rsid w:val="00274BCE"/>
    <w:rsid w:val="00274D02"/>
    <w:rsid w:val="0027505B"/>
    <w:rsid w:val="00275BE4"/>
    <w:rsid w:val="002761FC"/>
    <w:rsid w:val="00277154"/>
    <w:rsid w:val="00280234"/>
    <w:rsid w:val="0028109B"/>
    <w:rsid w:val="00281922"/>
    <w:rsid w:val="00281DA7"/>
    <w:rsid w:val="00282270"/>
    <w:rsid w:val="00282CDC"/>
    <w:rsid w:val="0028328E"/>
    <w:rsid w:val="002835B1"/>
    <w:rsid w:val="002836B0"/>
    <w:rsid w:val="00283EE4"/>
    <w:rsid w:val="00284053"/>
    <w:rsid w:val="0028457F"/>
    <w:rsid w:val="00285CEB"/>
    <w:rsid w:val="00285E8C"/>
    <w:rsid w:val="00290097"/>
    <w:rsid w:val="00290F86"/>
    <w:rsid w:val="00291CF5"/>
    <w:rsid w:val="002928DE"/>
    <w:rsid w:val="0029298F"/>
    <w:rsid w:val="00292E95"/>
    <w:rsid w:val="00292EC9"/>
    <w:rsid w:val="00293909"/>
    <w:rsid w:val="00294BFB"/>
    <w:rsid w:val="00294C0F"/>
    <w:rsid w:val="00294CE7"/>
    <w:rsid w:val="0029513C"/>
    <w:rsid w:val="0029523B"/>
    <w:rsid w:val="002966F4"/>
    <w:rsid w:val="0029723E"/>
    <w:rsid w:val="00297F67"/>
    <w:rsid w:val="002A0CDE"/>
    <w:rsid w:val="002A2319"/>
    <w:rsid w:val="002A3232"/>
    <w:rsid w:val="002A3F9A"/>
    <w:rsid w:val="002A599B"/>
    <w:rsid w:val="002A5B33"/>
    <w:rsid w:val="002A72B3"/>
    <w:rsid w:val="002A7713"/>
    <w:rsid w:val="002A7B7C"/>
    <w:rsid w:val="002B0325"/>
    <w:rsid w:val="002B1CD8"/>
    <w:rsid w:val="002B1D49"/>
    <w:rsid w:val="002B2205"/>
    <w:rsid w:val="002B2879"/>
    <w:rsid w:val="002B3289"/>
    <w:rsid w:val="002B5265"/>
    <w:rsid w:val="002B5405"/>
    <w:rsid w:val="002B5C5F"/>
    <w:rsid w:val="002B6429"/>
    <w:rsid w:val="002B67F1"/>
    <w:rsid w:val="002B6B88"/>
    <w:rsid w:val="002C0B3E"/>
    <w:rsid w:val="002C16A6"/>
    <w:rsid w:val="002C21A5"/>
    <w:rsid w:val="002C29A5"/>
    <w:rsid w:val="002C2E37"/>
    <w:rsid w:val="002C3A24"/>
    <w:rsid w:val="002C49FB"/>
    <w:rsid w:val="002C52D8"/>
    <w:rsid w:val="002C53A6"/>
    <w:rsid w:val="002C6F53"/>
    <w:rsid w:val="002D333E"/>
    <w:rsid w:val="002D3405"/>
    <w:rsid w:val="002D421D"/>
    <w:rsid w:val="002D466E"/>
    <w:rsid w:val="002D4795"/>
    <w:rsid w:val="002D511E"/>
    <w:rsid w:val="002D52D0"/>
    <w:rsid w:val="002D5CA4"/>
    <w:rsid w:val="002D5CDB"/>
    <w:rsid w:val="002D673D"/>
    <w:rsid w:val="002D7735"/>
    <w:rsid w:val="002D796B"/>
    <w:rsid w:val="002E086F"/>
    <w:rsid w:val="002E0D31"/>
    <w:rsid w:val="002E0F18"/>
    <w:rsid w:val="002E1453"/>
    <w:rsid w:val="002E14FA"/>
    <w:rsid w:val="002E1729"/>
    <w:rsid w:val="002E3509"/>
    <w:rsid w:val="002E4E80"/>
    <w:rsid w:val="002E51C8"/>
    <w:rsid w:val="002E540C"/>
    <w:rsid w:val="002E56C8"/>
    <w:rsid w:val="002E7011"/>
    <w:rsid w:val="002F02BB"/>
    <w:rsid w:val="002F1753"/>
    <w:rsid w:val="002F1F26"/>
    <w:rsid w:val="002F20AC"/>
    <w:rsid w:val="002F213F"/>
    <w:rsid w:val="002F277D"/>
    <w:rsid w:val="002F319B"/>
    <w:rsid w:val="002F5910"/>
    <w:rsid w:val="002F5A84"/>
    <w:rsid w:val="002F5D26"/>
    <w:rsid w:val="002F6FC5"/>
    <w:rsid w:val="00301C67"/>
    <w:rsid w:val="003039D2"/>
    <w:rsid w:val="00303BE6"/>
    <w:rsid w:val="003040DE"/>
    <w:rsid w:val="003050E4"/>
    <w:rsid w:val="00305FAB"/>
    <w:rsid w:val="00306187"/>
    <w:rsid w:val="0030780B"/>
    <w:rsid w:val="003109CB"/>
    <w:rsid w:val="00310E84"/>
    <w:rsid w:val="00311F91"/>
    <w:rsid w:val="003132F0"/>
    <w:rsid w:val="003135A3"/>
    <w:rsid w:val="00313A9F"/>
    <w:rsid w:val="00321C89"/>
    <w:rsid w:val="00321E2B"/>
    <w:rsid w:val="003220DC"/>
    <w:rsid w:val="00322EB4"/>
    <w:rsid w:val="00323FD6"/>
    <w:rsid w:val="003246D1"/>
    <w:rsid w:val="00324A1D"/>
    <w:rsid w:val="00327474"/>
    <w:rsid w:val="00327BEB"/>
    <w:rsid w:val="003306E6"/>
    <w:rsid w:val="00331170"/>
    <w:rsid w:val="003315F3"/>
    <w:rsid w:val="00331BE4"/>
    <w:rsid w:val="003324BC"/>
    <w:rsid w:val="00332C4E"/>
    <w:rsid w:val="00333090"/>
    <w:rsid w:val="00333744"/>
    <w:rsid w:val="003339A6"/>
    <w:rsid w:val="00334578"/>
    <w:rsid w:val="0033497A"/>
    <w:rsid w:val="00334CAD"/>
    <w:rsid w:val="00334E6C"/>
    <w:rsid w:val="00335144"/>
    <w:rsid w:val="003358E8"/>
    <w:rsid w:val="003361A3"/>
    <w:rsid w:val="00336A1A"/>
    <w:rsid w:val="0033734C"/>
    <w:rsid w:val="00340201"/>
    <w:rsid w:val="003406BF"/>
    <w:rsid w:val="00340A0E"/>
    <w:rsid w:val="0034286F"/>
    <w:rsid w:val="00343FF1"/>
    <w:rsid w:val="003454F3"/>
    <w:rsid w:val="00346792"/>
    <w:rsid w:val="003468E7"/>
    <w:rsid w:val="0034757E"/>
    <w:rsid w:val="003502E9"/>
    <w:rsid w:val="003505B1"/>
    <w:rsid w:val="0035145E"/>
    <w:rsid w:val="003528DF"/>
    <w:rsid w:val="003548AC"/>
    <w:rsid w:val="00354F25"/>
    <w:rsid w:val="0036047E"/>
    <w:rsid w:val="00360F0B"/>
    <w:rsid w:val="003617EE"/>
    <w:rsid w:val="00361BCA"/>
    <w:rsid w:val="00362446"/>
    <w:rsid w:val="003627A0"/>
    <w:rsid w:val="003629D0"/>
    <w:rsid w:val="00362A82"/>
    <w:rsid w:val="00365066"/>
    <w:rsid w:val="00365EFB"/>
    <w:rsid w:val="00366031"/>
    <w:rsid w:val="0036718B"/>
    <w:rsid w:val="003712B7"/>
    <w:rsid w:val="00371424"/>
    <w:rsid w:val="0037148F"/>
    <w:rsid w:val="00371E63"/>
    <w:rsid w:val="00372501"/>
    <w:rsid w:val="003735C7"/>
    <w:rsid w:val="003741D6"/>
    <w:rsid w:val="003742EB"/>
    <w:rsid w:val="0037538B"/>
    <w:rsid w:val="003769A0"/>
    <w:rsid w:val="00377546"/>
    <w:rsid w:val="003776F0"/>
    <w:rsid w:val="00380ABF"/>
    <w:rsid w:val="00381DA5"/>
    <w:rsid w:val="003830D8"/>
    <w:rsid w:val="00383D9B"/>
    <w:rsid w:val="00386523"/>
    <w:rsid w:val="00386657"/>
    <w:rsid w:val="00387E4C"/>
    <w:rsid w:val="00391AA9"/>
    <w:rsid w:val="00391AF0"/>
    <w:rsid w:val="00391F4B"/>
    <w:rsid w:val="00392EF2"/>
    <w:rsid w:val="003932FA"/>
    <w:rsid w:val="00395D83"/>
    <w:rsid w:val="00395F4B"/>
    <w:rsid w:val="00396AB6"/>
    <w:rsid w:val="00397D66"/>
    <w:rsid w:val="003A1EF3"/>
    <w:rsid w:val="003A23FD"/>
    <w:rsid w:val="003A2B96"/>
    <w:rsid w:val="003A6703"/>
    <w:rsid w:val="003A67FA"/>
    <w:rsid w:val="003A6841"/>
    <w:rsid w:val="003A68D9"/>
    <w:rsid w:val="003A76D4"/>
    <w:rsid w:val="003A7960"/>
    <w:rsid w:val="003A7B87"/>
    <w:rsid w:val="003B0167"/>
    <w:rsid w:val="003B06FD"/>
    <w:rsid w:val="003B077E"/>
    <w:rsid w:val="003B1646"/>
    <w:rsid w:val="003B344D"/>
    <w:rsid w:val="003B4B3E"/>
    <w:rsid w:val="003B4CF1"/>
    <w:rsid w:val="003B4ECA"/>
    <w:rsid w:val="003B53A6"/>
    <w:rsid w:val="003B5651"/>
    <w:rsid w:val="003B56DD"/>
    <w:rsid w:val="003B6079"/>
    <w:rsid w:val="003B617D"/>
    <w:rsid w:val="003B71DF"/>
    <w:rsid w:val="003B742B"/>
    <w:rsid w:val="003B7870"/>
    <w:rsid w:val="003C13A3"/>
    <w:rsid w:val="003C1585"/>
    <w:rsid w:val="003C1A42"/>
    <w:rsid w:val="003C1C93"/>
    <w:rsid w:val="003C27E3"/>
    <w:rsid w:val="003C2BF4"/>
    <w:rsid w:val="003C3414"/>
    <w:rsid w:val="003C4A44"/>
    <w:rsid w:val="003C611C"/>
    <w:rsid w:val="003C6ABE"/>
    <w:rsid w:val="003C75E8"/>
    <w:rsid w:val="003D046D"/>
    <w:rsid w:val="003D1C90"/>
    <w:rsid w:val="003D2EA2"/>
    <w:rsid w:val="003D4AF6"/>
    <w:rsid w:val="003D4CF1"/>
    <w:rsid w:val="003D5726"/>
    <w:rsid w:val="003D59D2"/>
    <w:rsid w:val="003D667E"/>
    <w:rsid w:val="003D6F32"/>
    <w:rsid w:val="003E21EB"/>
    <w:rsid w:val="003E35CE"/>
    <w:rsid w:val="003E6A5D"/>
    <w:rsid w:val="003E7B0C"/>
    <w:rsid w:val="003F1372"/>
    <w:rsid w:val="003F1476"/>
    <w:rsid w:val="003F20FF"/>
    <w:rsid w:val="003F4285"/>
    <w:rsid w:val="003F4325"/>
    <w:rsid w:val="003F4C78"/>
    <w:rsid w:val="003F4D05"/>
    <w:rsid w:val="003F5155"/>
    <w:rsid w:val="003F51DD"/>
    <w:rsid w:val="003F5F28"/>
    <w:rsid w:val="003F7CE7"/>
    <w:rsid w:val="00400537"/>
    <w:rsid w:val="00400676"/>
    <w:rsid w:val="00400E84"/>
    <w:rsid w:val="00401223"/>
    <w:rsid w:val="00401739"/>
    <w:rsid w:val="0040257C"/>
    <w:rsid w:val="00403B02"/>
    <w:rsid w:val="00405C3C"/>
    <w:rsid w:val="0040757C"/>
    <w:rsid w:val="00407A94"/>
    <w:rsid w:val="00407B4C"/>
    <w:rsid w:val="00411335"/>
    <w:rsid w:val="004122E7"/>
    <w:rsid w:val="00412ED3"/>
    <w:rsid w:val="0041355F"/>
    <w:rsid w:val="00413C9A"/>
    <w:rsid w:val="00414FFB"/>
    <w:rsid w:val="00416C11"/>
    <w:rsid w:val="00417A1A"/>
    <w:rsid w:val="004211B0"/>
    <w:rsid w:val="00421DB1"/>
    <w:rsid w:val="00422186"/>
    <w:rsid w:val="00422C66"/>
    <w:rsid w:val="0042311A"/>
    <w:rsid w:val="00423433"/>
    <w:rsid w:val="0042369E"/>
    <w:rsid w:val="00423D5C"/>
    <w:rsid w:val="00424536"/>
    <w:rsid w:val="0042476F"/>
    <w:rsid w:val="00425C51"/>
    <w:rsid w:val="00425E0D"/>
    <w:rsid w:val="00426084"/>
    <w:rsid w:val="0042622D"/>
    <w:rsid w:val="00426634"/>
    <w:rsid w:val="00426BD1"/>
    <w:rsid w:val="00427CB6"/>
    <w:rsid w:val="00427D2C"/>
    <w:rsid w:val="00427F3A"/>
    <w:rsid w:val="004306BD"/>
    <w:rsid w:val="00430CF0"/>
    <w:rsid w:val="0043171D"/>
    <w:rsid w:val="00431E60"/>
    <w:rsid w:val="00432434"/>
    <w:rsid w:val="0043584E"/>
    <w:rsid w:val="00435B9E"/>
    <w:rsid w:val="0043606F"/>
    <w:rsid w:val="00436660"/>
    <w:rsid w:val="00437A21"/>
    <w:rsid w:val="00441D10"/>
    <w:rsid w:val="0044240A"/>
    <w:rsid w:val="00444DE4"/>
    <w:rsid w:val="00444EDB"/>
    <w:rsid w:val="0044719B"/>
    <w:rsid w:val="00447416"/>
    <w:rsid w:val="0044787E"/>
    <w:rsid w:val="00447E42"/>
    <w:rsid w:val="00451109"/>
    <w:rsid w:val="004517EF"/>
    <w:rsid w:val="00451899"/>
    <w:rsid w:val="004520DD"/>
    <w:rsid w:val="0045239D"/>
    <w:rsid w:val="0045316F"/>
    <w:rsid w:val="004531BD"/>
    <w:rsid w:val="004536B0"/>
    <w:rsid w:val="004538D6"/>
    <w:rsid w:val="00454B0C"/>
    <w:rsid w:val="004558CB"/>
    <w:rsid w:val="00455976"/>
    <w:rsid w:val="00455EBB"/>
    <w:rsid w:val="00456380"/>
    <w:rsid w:val="00457339"/>
    <w:rsid w:val="00457668"/>
    <w:rsid w:val="004576E4"/>
    <w:rsid w:val="004601C6"/>
    <w:rsid w:val="00460A39"/>
    <w:rsid w:val="0046112D"/>
    <w:rsid w:val="00461367"/>
    <w:rsid w:val="004623FD"/>
    <w:rsid w:val="00462C99"/>
    <w:rsid w:val="00463C3F"/>
    <w:rsid w:val="004640E8"/>
    <w:rsid w:val="00464500"/>
    <w:rsid w:val="004648CD"/>
    <w:rsid w:val="004649A3"/>
    <w:rsid w:val="00466784"/>
    <w:rsid w:val="00466C5F"/>
    <w:rsid w:val="00467A56"/>
    <w:rsid w:val="004709B0"/>
    <w:rsid w:val="00471EAF"/>
    <w:rsid w:val="00472828"/>
    <w:rsid w:val="0047338D"/>
    <w:rsid w:val="004735C8"/>
    <w:rsid w:val="00474CC4"/>
    <w:rsid w:val="00474D5D"/>
    <w:rsid w:val="00476083"/>
    <w:rsid w:val="004765AC"/>
    <w:rsid w:val="00476913"/>
    <w:rsid w:val="0047729C"/>
    <w:rsid w:val="0047736F"/>
    <w:rsid w:val="00477B61"/>
    <w:rsid w:val="0048050F"/>
    <w:rsid w:val="00480C22"/>
    <w:rsid w:val="00480E50"/>
    <w:rsid w:val="0048626B"/>
    <w:rsid w:val="004865F9"/>
    <w:rsid w:val="00487CA0"/>
    <w:rsid w:val="00490B93"/>
    <w:rsid w:val="00491901"/>
    <w:rsid w:val="00492078"/>
    <w:rsid w:val="004920FE"/>
    <w:rsid w:val="00492C1E"/>
    <w:rsid w:val="0049344D"/>
    <w:rsid w:val="004936E6"/>
    <w:rsid w:val="00493A86"/>
    <w:rsid w:val="00493BA1"/>
    <w:rsid w:val="004952DD"/>
    <w:rsid w:val="00495328"/>
    <w:rsid w:val="00495CAE"/>
    <w:rsid w:val="00495EBD"/>
    <w:rsid w:val="00496879"/>
    <w:rsid w:val="004970F8"/>
    <w:rsid w:val="00497BC1"/>
    <w:rsid w:val="004A0303"/>
    <w:rsid w:val="004A0AD9"/>
    <w:rsid w:val="004A0FED"/>
    <w:rsid w:val="004A19BF"/>
    <w:rsid w:val="004A4C0F"/>
    <w:rsid w:val="004A5C67"/>
    <w:rsid w:val="004A6684"/>
    <w:rsid w:val="004B0E7D"/>
    <w:rsid w:val="004B10C7"/>
    <w:rsid w:val="004B1B16"/>
    <w:rsid w:val="004B1BF0"/>
    <w:rsid w:val="004B2F85"/>
    <w:rsid w:val="004B35DA"/>
    <w:rsid w:val="004B450C"/>
    <w:rsid w:val="004B633D"/>
    <w:rsid w:val="004B709A"/>
    <w:rsid w:val="004C0760"/>
    <w:rsid w:val="004C22BD"/>
    <w:rsid w:val="004C2408"/>
    <w:rsid w:val="004C3028"/>
    <w:rsid w:val="004C4769"/>
    <w:rsid w:val="004C5C81"/>
    <w:rsid w:val="004C63A2"/>
    <w:rsid w:val="004C6724"/>
    <w:rsid w:val="004C6E4B"/>
    <w:rsid w:val="004C750A"/>
    <w:rsid w:val="004C772B"/>
    <w:rsid w:val="004D0DA4"/>
    <w:rsid w:val="004D17AF"/>
    <w:rsid w:val="004D3337"/>
    <w:rsid w:val="004D4C12"/>
    <w:rsid w:val="004D50BE"/>
    <w:rsid w:val="004D54A7"/>
    <w:rsid w:val="004D7CD5"/>
    <w:rsid w:val="004E0F45"/>
    <w:rsid w:val="004E1A8C"/>
    <w:rsid w:val="004E1C1D"/>
    <w:rsid w:val="004E2848"/>
    <w:rsid w:val="004E28D9"/>
    <w:rsid w:val="004E3393"/>
    <w:rsid w:val="004E3A84"/>
    <w:rsid w:val="004E41F2"/>
    <w:rsid w:val="004E526E"/>
    <w:rsid w:val="004E6674"/>
    <w:rsid w:val="004E691A"/>
    <w:rsid w:val="004E7D09"/>
    <w:rsid w:val="004F14A5"/>
    <w:rsid w:val="004F1F05"/>
    <w:rsid w:val="004F29B9"/>
    <w:rsid w:val="004F3907"/>
    <w:rsid w:val="004F40B9"/>
    <w:rsid w:val="004F48E8"/>
    <w:rsid w:val="004F4C46"/>
    <w:rsid w:val="004F5321"/>
    <w:rsid w:val="004F5F1A"/>
    <w:rsid w:val="004F65D0"/>
    <w:rsid w:val="004F76A2"/>
    <w:rsid w:val="004F7826"/>
    <w:rsid w:val="004F7E4E"/>
    <w:rsid w:val="0050071B"/>
    <w:rsid w:val="00500D78"/>
    <w:rsid w:val="00501A88"/>
    <w:rsid w:val="00501C0A"/>
    <w:rsid w:val="00501CFC"/>
    <w:rsid w:val="005027B7"/>
    <w:rsid w:val="00502FA5"/>
    <w:rsid w:val="00504521"/>
    <w:rsid w:val="00504E6F"/>
    <w:rsid w:val="0050545D"/>
    <w:rsid w:val="00505B96"/>
    <w:rsid w:val="00506080"/>
    <w:rsid w:val="00506BC2"/>
    <w:rsid w:val="00507011"/>
    <w:rsid w:val="00507120"/>
    <w:rsid w:val="00507386"/>
    <w:rsid w:val="00510244"/>
    <w:rsid w:val="00512049"/>
    <w:rsid w:val="005123BA"/>
    <w:rsid w:val="005137E9"/>
    <w:rsid w:val="00515355"/>
    <w:rsid w:val="005153AA"/>
    <w:rsid w:val="005155A2"/>
    <w:rsid w:val="00515937"/>
    <w:rsid w:val="00515A3F"/>
    <w:rsid w:val="00515FA6"/>
    <w:rsid w:val="00516478"/>
    <w:rsid w:val="005177BE"/>
    <w:rsid w:val="00517AC3"/>
    <w:rsid w:val="00517CBF"/>
    <w:rsid w:val="0052056B"/>
    <w:rsid w:val="00520F00"/>
    <w:rsid w:val="00521ADE"/>
    <w:rsid w:val="00525F07"/>
    <w:rsid w:val="00526CCA"/>
    <w:rsid w:val="00527398"/>
    <w:rsid w:val="00527456"/>
    <w:rsid w:val="005309CF"/>
    <w:rsid w:val="00530C48"/>
    <w:rsid w:val="005323BA"/>
    <w:rsid w:val="00532ED4"/>
    <w:rsid w:val="005331F8"/>
    <w:rsid w:val="0053576C"/>
    <w:rsid w:val="00537245"/>
    <w:rsid w:val="0053737F"/>
    <w:rsid w:val="005403CF"/>
    <w:rsid w:val="005424E1"/>
    <w:rsid w:val="00542BF2"/>
    <w:rsid w:val="00543702"/>
    <w:rsid w:val="00544639"/>
    <w:rsid w:val="00545DDE"/>
    <w:rsid w:val="00546560"/>
    <w:rsid w:val="00547E78"/>
    <w:rsid w:val="00547FB0"/>
    <w:rsid w:val="00551379"/>
    <w:rsid w:val="0055198C"/>
    <w:rsid w:val="00551C8B"/>
    <w:rsid w:val="00551CBE"/>
    <w:rsid w:val="00552F1A"/>
    <w:rsid w:val="00553BF5"/>
    <w:rsid w:val="00553D2C"/>
    <w:rsid w:val="0055427B"/>
    <w:rsid w:val="005542EE"/>
    <w:rsid w:val="00555804"/>
    <w:rsid w:val="00555F35"/>
    <w:rsid w:val="0055624E"/>
    <w:rsid w:val="00556451"/>
    <w:rsid w:val="00556EFD"/>
    <w:rsid w:val="00557FBE"/>
    <w:rsid w:val="00561C0F"/>
    <w:rsid w:val="005626C2"/>
    <w:rsid w:val="00562721"/>
    <w:rsid w:val="00563855"/>
    <w:rsid w:val="00563CF1"/>
    <w:rsid w:val="0056526E"/>
    <w:rsid w:val="00565AA8"/>
    <w:rsid w:val="00566F42"/>
    <w:rsid w:val="00567050"/>
    <w:rsid w:val="00570A37"/>
    <w:rsid w:val="00570A73"/>
    <w:rsid w:val="005717DC"/>
    <w:rsid w:val="00572468"/>
    <w:rsid w:val="00572DC1"/>
    <w:rsid w:val="00572DE7"/>
    <w:rsid w:val="005738CA"/>
    <w:rsid w:val="00573DCF"/>
    <w:rsid w:val="00574264"/>
    <w:rsid w:val="0057454C"/>
    <w:rsid w:val="00574D22"/>
    <w:rsid w:val="00575B26"/>
    <w:rsid w:val="00576655"/>
    <w:rsid w:val="00576E5A"/>
    <w:rsid w:val="00577C08"/>
    <w:rsid w:val="005815B2"/>
    <w:rsid w:val="0058191C"/>
    <w:rsid w:val="0058273C"/>
    <w:rsid w:val="00582E7E"/>
    <w:rsid w:val="00585A32"/>
    <w:rsid w:val="00587253"/>
    <w:rsid w:val="00592020"/>
    <w:rsid w:val="005945FC"/>
    <w:rsid w:val="00594637"/>
    <w:rsid w:val="00594A25"/>
    <w:rsid w:val="00594FF6"/>
    <w:rsid w:val="005950BD"/>
    <w:rsid w:val="0059511B"/>
    <w:rsid w:val="00597A69"/>
    <w:rsid w:val="00597E2C"/>
    <w:rsid w:val="005A0659"/>
    <w:rsid w:val="005A0991"/>
    <w:rsid w:val="005A1E12"/>
    <w:rsid w:val="005A238E"/>
    <w:rsid w:val="005A2894"/>
    <w:rsid w:val="005A2B1D"/>
    <w:rsid w:val="005A3AD9"/>
    <w:rsid w:val="005A41DA"/>
    <w:rsid w:val="005A4628"/>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528E"/>
    <w:rsid w:val="005B5315"/>
    <w:rsid w:val="005B56DA"/>
    <w:rsid w:val="005B5A1E"/>
    <w:rsid w:val="005C0551"/>
    <w:rsid w:val="005C444C"/>
    <w:rsid w:val="005C466A"/>
    <w:rsid w:val="005C5106"/>
    <w:rsid w:val="005C5D44"/>
    <w:rsid w:val="005C61EA"/>
    <w:rsid w:val="005C6237"/>
    <w:rsid w:val="005C6BE0"/>
    <w:rsid w:val="005D04AD"/>
    <w:rsid w:val="005D07DC"/>
    <w:rsid w:val="005D09B6"/>
    <w:rsid w:val="005D139B"/>
    <w:rsid w:val="005E0673"/>
    <w:rsid w:val="005E141B"/>
    <w:rsid w:val="005E2121"/>
    <w:rsid w:val="005E310E"/>
    <w:rsid w:val="005E38A7"/>
    <w:rsid w:val="005E45CC"/>
    <w:rsid w:val="005E509C"/>
    <w:rsid w:val="005E5629"/>
    <w:rsid w:val="005E5F23"/>
    <w:rsid w:val="005E63E9"/>
    <w:rsid w:val="005E6CC2"/>
    <w:rsid w:val="005E7B57"/>
    <w:rsid w:val="005F0152"/>
    <w:rsid w:val="005F043B"/>
    <w:rsid w:val="005F184D"/>
    <w:rsid w:val="005F25DB"/>
    <w:rsid w:val="005F2ECC"/>
    <w:rsid w:val="005F3F0D"/>
    <w:rsid w:val="005F494D"/>
    <w:rsid w:val="005F66F8"/>
    <w:rsid w:val="005F6CB3"/>
    <w:rsid w:val="005F6FCD"/>
    <w:rsid w:val="005F7856"/>
    <w:rsid w:val="006011B5"/>
    <w:rsid w:val="0060206B"/>
    <w:rsid w:val="00602607"/>
    <w:rsid w:val="00602834"/>
    <w:rsid w:val="00602A02"/>
    <w:rsid w:val="00603168"/>
    <w:rsid w:val="0060343F"/>
    <w:rsid w:val="0060676E"/>
    <w:rsid w:val="0060786A"/>
    <w:rsid w:val="0061023C"/>
    <w:rsid w:val="00611C10"/>
    <w:rsid w:val="00612F47"/>
    <w:rsid w:val="006152AB"/>
    <w:rsid w:val="00615C2C"/>
    <w:rsid w:val="00617306"/>
    <w:rsid w:val="00617522"/>
    <w:rsid w:val="006203B6"/>
    <w:rsid w:val="00620F0D"/>
    <w:rsid w:val="006215A0"/>
    <w:rsid w:val="00622CA4"/>
    <w:rsid w:val="006257CB"/>
    <w:rsid w:val="00625BBB"/>
    <w:rsid w:val="00625CC9"/>
    <w:rsid w:val="006260A3"/>
    <w:rsid w:val="006304F8"/>
    <w:rsid w:val="00630B54"/>
    <w:rsid w:val="00630D1E"/>
    <w:rsid w:val="006313D5"/>
    <w:rsid w:val="00632C9B"/>
    <w:rsid w:val="00632E11"/>
    <w:rsid w:val="006335F3"/>
    <w:rsid w:val="00633AAE"/>
    <w:rsid w:val="006344FF"/>
    <w:rsid w:val="0063466C"/>
    <w:rsid w:val="006363C0"/>
    <w:rsid w:val="0063701E"/>
    <w:rsid w:val="00637BAB"/>
    <w:rsid w:val="006402DF"/>
    <w:rsid w:val="00641C7D"/>
    <w:rsid w:val="006428FD"/>
    <w:rsid w:val="006438EE"/>
    <w:rsid w:val="00644224"/>
    <w:rsid w:val="00645E03"/>
    <w:rsid w:val="00646216"/>
    <w:rsid w:val="00646E52"/>
    <w:rsid w:val="00647815"/>
    <w:rsid w:val="00650650"/>
    <w:rsid w:val="006511F0"/>
    <w:rsid w:val="0065179F"/>
    <w:rsid w:val="00651CFD"/>
    <w:rsid w:val="00654027"/>
    <w:rsid w:val="0065430B"/>
    <w:rsid w:val="00654642"/>
    <w:rsid w:val="006555B6"/>
    <w:rsid w:val="006558B3"/>
    <w:rsid w:val="0065627C"/>
    <w:rsid w:val="0065796C"/>
    <w:rsid w:val="006608D3"/>
    <w:rsid w:val="00661093"/>
    <w:rsid w:val="006610A8"/>
    <w:rsid w:val="0066185D"/>
    <w:rsid w:val="00661DD2"/>
    <w:rsid w:val="006623F5"/>
    <w:rsid w:val="006628A9"/>
    <w:rsid w:val="0066303D"/>
    <w:rsid w:val="00664BC0"/>
    <w:rsid w:val="00665C1E"/>
    <w:rsid w:val="0066611F"/>
    <w:rsid w:val="00666931"/>
    <w:rsid w:val="006713C6"/>
    <w:rsid w:val="006717B5"/>
    <w:rsid w:val="006725B9"/>
    <w:rsid w:val="0067326A"/>
    <w:rsid w:val="006740D1"/>
    <w:rsid w:val="00674926"/>
    <w:rsid w:val="00675245"/>
    <w:rsid w:val="00675296"/>
    <w:rsid w:val="006755C6"/>
    <w:rsid w:val="00675EB6"/>
    <w:rsid w:val="00676B1F"/>
    <w:rsid w:val="00676BDD"/>
    <w:rsid w:val="00680F4D"/>
    <w:rsid w:val="006811BE"/>
    <w:rsid w:val="00681795"/>
    <w:rsid w:val="00682DE8"/>
    <w:rsid w:val="0068305E"/>
    <w:rsid w:val="0068316B"/>
    <w:rsid w:val="006840C2"/>
    <w:rsid w:val="0068471F"/>
    <w:rsid w:val="00684DAC"/>
    <w:rsid w:val="0068518E"/>
    <w:rsid w:val="006855CA"/>
    <w:rsid w:val="00686BBF"/>
    <w:rsid w:val="006876A4"/>
    <w:rsid w:val="00687E18"/>
    <w:rsid w:val="006909B0"/>
    <w:rsid w:val="00690C5D"/>
    <w:rsid w:val="00690C60"/>
    <w:rsid w:val="006920D3"/>
    <w:rsid w:val="00696D6A"/>
    <w:rsid w:val="006976BC"/>
    <w:rsid w:val="00697C12"/>
    <w:rsid w:val="006A04B9"/>
    <w:rsid w:val="006A0BFD"/>
    <w:rsid w:val="006A13D0"/>
    <w:rsid w:val="006A1409"/>
    <w:rsid w:val="006A2886"/>
    <w:rsid w:val="006A2EBF"/>
    <w:rsid w:val="006A30A5"/>
    <w:rsid w:val="006A3146"/>
    <w:rsid w:val="006A3318"/>
    <w:rsid w:val="006A43CE"/>
    <w:rsid w:val="006A4679"/>
    <w:rsid w:val="006A47D8"/>
    <w:rsid w:val="006A662E"/>
    <w:rsid w:val="006A6A33"/>
    <w:rsid w:val="006A7229"/>
    <w:rsid w:val="006A7CB4"/>
    <w:rsid w:val="006B0227"/>
    <w:rsid w:val="006B05A0"/>
    <w:rsid w:val="006B0DB2"/>
    <w:rsid w:val="006B1949"/>
    <w:rsid w:val="006B1FC7"/>
    <w:rsid w:val="006B2A1F"/>
    <w:rsid w:val="006B3CA8"/>
    <w:rsid w:val="006B44A5"/>
    <w:rsid w:val="006B56C4"/>
    <w:rsid w:val="006B5923"/>
    <w:rsid w:val="006B6100"/>
    <w:rsid w:val="006B79B3"/>
    <w:rsid w:val="006C046C"/>
    <w:rsid w:val="006C0499"/>
    <w:rsid w:val="006C0869"/>
    <w:rsid w:val="006C1A2B"/>
    <w:rsid w:val="006C2061"/>
    <w:rsid w:val="006C30FE"/>
    <w:rsid w:val="006C35AB"/>
    <w:rsid w:val="006C3635"/>
    <w:rsid w:val="006C5965"/>
    <w:rsid w:val="006C7168"/>
    <w:rsid w:val="006D04D0"/>
    <w:rsid w:val="006D0DA9"/>
    <w:rsid w:val="006D143F"/>
    <w:rsid w:val="006D1926"/>
    <w:rsid w:val="006D3F91"/>
    <w:rsid w:val="006D50FD"/>
    <w:rsid w:val="006D54A4"/>
    <w:rsid w:val="006D5B5D"/>
    <w:rsid w:val="006D6ECB"/>
    <w:rsid w:val="006D73EB"/>
    <w:rsid w:val="006D7603"/>
    <w:rsid w:val="006D784C"/>
    <w:rsid w:val="006E12A5"/>
    <w:rsid w:val="006E1D53"/>
    <w:rsid w:val="006E3AD2"/>
    <w:rsid w:val="006E3EE4"/>
    <w:rsid w:val="006E473E"/>
    <w:rsid w:val="006E498A"/>
    <w:rsid w:val="006E6053"/>
    <w:rsid w:val="006F04BD"/>
    <w:rsid w:val="006F10AB"/>
    <w:rsid w:val="006F20F0"/>
    <w:rsid w:val="006F264A"/>
    <w:rsid w:val="006F27A5"/>
    <w:rsid w:val="006F2938"/>
    <w:rsid w:val="006F3475"/>
    <w:rsid w:val="006F3A1E"/>
    <w:rsid w:val="006F4473"/>
    <w:rsid w:val="006F493D"/>
    <w:rsid w:val="006F5068"/>
    <w:rsid w:val="006F5DE6"/>
    <w:rsid w:val="006F7EA4"/>
    <w:rsid w:val="0070030D"/>
    <w:rsid w:val="00700704"/>
    <w:rsid w:val="007021B3"/>
    <w:rsid w:val="00702CA5"/>
    <w:rsid w:val="007046E0"/>
    <w:rsid w:val="0070499D"/>
    <w:rsid w:val="00704D98"/>
    <w:rsid w:val="00705EAB"/>
    <w:rsid w:val="00706194"/>
    <w:rsid w:val="00706998"/>
    <w:rsid w:val="00706E9D"/>
    <w:rsid w:val="0070777D"/>
    <w:rsid w:val="00710461"/>
    <w:rsid w:val="00710912"/>
    <w:rsid w:val="00710C05"/>
    <w:rsid w:val="00711D49"/>
    <w:rsid w:val="00712028"/>
    <w:rsid w:val="007134FE"/>
    <w:rsid w:val="0071504A"/>
    <w:rsid w:val="00717096"/>
    <w:rsid w:val="0071746A"/>
    <w:rsid w:val="007178DC"/>
    <w:rsid w:val="00717C9A"/>
    <w:rsid w:val="00717D39"/>
    <w:rsid w:val="00720EA6"/>
    <w:rsid w:val="00722F29"/>
    <w:rsid w:val="00723010"/>
    <w:rsid w:val="0072333C"/>
    <w:rsid w:val="0072536F"/>
    <w:rsid w:val="007268D8"/>
    <w:rsid w:val="00727650"/>
    <w:rsid w:val="00727A3A"/>
    <w:rsid w:val="00727D7F"/>
    <w:rsid w:val="00730651"/>
    <w:rsid w:val="00730BA4"/>
    <w:rsid w:val="0073129A"/>
    <w:rsid w:val="00731B3C"/>
    <w:rsid w:val="0073502C"/>
    <w:rsid w:val="00736339"/>
    <w:rsid w:val="0073687C"/>
    <w:rsid w:val="00736F6D"/>
    <w:rsid w:val="007400E0"/>
    <w:rsid w:val="00740F8D"/>
    <w:rsid w:val="007416FA"/>
    <w:rsid w:val="00741965"/>
    <w:rsid w:val="007425EA"/>
    <w:rsid w:val="0074316B"/>
    <w:rsid w:val="00743643"/>
    <w:rsid w:val="007443C8"/>
    <w:rsid w:val="0074482A"/>
    <w:rsid w:val="0074570C"/>
    <w:rsid w:val="00745BD9"/>
    <w:rsid w:val="00746AFC"/>
    <w:rsid w:val="0074749B"/>
    <w:rsid w:val="00750625"/>
    <w:rsid w:val="00751060"/>
    <w:rsid w:val="007515CC"/>
    <w:rsid w:val="00751C9C"/>
    <w:rsid w:val="007526D8"/>
    <w:rsid w:val="00752E62"/>
    <w:rsid w:val="00752F6B"/>
    <w:rsid w:val="0075331E"/>
    <w:rsid w:val="00754269"/>
    <w:rsid w:val="00754ADE"/>
    <w:rsid w:val="00754C1E"/>
    <w:rsid w:val="00754D97"/>
    <w:rsid w:val="00756824"/>
    <w:rsid w:val="0075687D"/>
    <w:rsid w:val="0075713F"/>
    <w:rsid w:val="00757223"/>
    <w:rsid w:val="00760B1A"/>
    <w:rsid w:val="00761A6C"/>
    <w:rsid w:val="00761CF4"/>
    <w:rsid w:val="00762A77"/>
    <w:rsid w:val="007630BC"/>
    <w:rsid w:val="00763681"/>
    <w:rsid w:val="007638C2"/>
    <w:rsid w:val="00763EFA"/>
    <w:rsid w:val="00766BA0"/>
    <w:rsid w:val="00770DF8"/>
    <w:rsid w:val="00771235"/>
    <w:rsid w:val="00771E9F"/>
    <w:rsid w:val="00771EFE"/>
    <w:rsid w:val="0077277E"/>
    <w:rsid w:val="00772AC8"/>
    <w:rsid w:val="00772F01"/>
    <w:rsid w:val="00773654"/>
    <w:rsid w:val="00773B8F"/>
    <w:rsid w:val="00774C5E"/>
    <w:rsid w:val="0077538D"/>
    <w:rsid w:val="00775CC6"/>
    <w:rsid w:val="00776AA0"/>
    <w:rsid w:val="00777389"/>
    <w:rsid w:val="00777399"/>
    <w:rsid w:val="00777ABD"/>
    <w:rsid w:val="00780309"/>
    <w:rsid w:val="007803CF"/>
    <w:rsid w:val="0078042E"/>
    <w:rsid w:val="007808FD"/>
    <w:rsid w:val="00781AFD"/>
    <w:rsid w:val="00781DDA"/>
    <w:rsid w:val="007825A0"/>
    <w:rsid w:val="007827ED"/>
    <w:rsid w:val="00786C66"/>
    <w:rsid w:val="00786DB5"/>
    <w:rsid w:val="00787341"/>
    <w:rsid w:val="00790A34"/>
    <w:rsid w:val="00792FAB"/>
    <w:rsid w:val="00794639"/>
    <w:rsid w:val="00797B9B"/>
    <w:rsid w:val="00797E31"/>
    <w:rsid w:val="00797FDD"/>
    <w:rsid w:val="007A1847"/>
    <w:rsid w:val="007A2370"/>
    <w:rsid w:val="007A4691"/>
    <w:rsid w:val="007A4C70"/>
    <w:rsid w:val="007A58C1"/>
    <w:rsid w:val="007A597A"/>
    <w:rsid w:val="007A649E"/>
    <w:rsid w:val="007A7299"/>
    <w:rsid w:val="007A73F6"/>
    <w:rsid w:val="007B08B0"/>
    <w:rsid w:val="007B0C69"/>
    <w:rsid w:val="007B0DB2"/>
    <w:rsid w:val="007B0F7A"/>
    <w:rsid w:val="007B1F3B"/>
    <w:rsid w:val="007B27F1"/>
    <w:rsid w:val="007B368A"/>
    <w:rsid w:val="007B454E"/>
    <w:rsid w:val="007B45D4"/>
    <w:rsid w:val="007B702D"/>
    <w:rsid w:val="007C1EB1"/>
    <w:rsid w:val="007C2116"/>
    <w:rsid w:val="007C21B0"/>
    <w:rsid w:val="007C2E82"/>
    <w:rsid w:val="007C376C"/>
    <w:rsid w:val="007C3D4D"/>
    <w:rsid w:val="007C3FE0"/>
    <w:rsid w:val="007C5161"/>
    <w:rsid w:val="007C5444"/>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8C5"/>
    <w:rsid w:val="007D6BBE"/>
    <w:rsid w:val="007E0855"/>
    <w:rsid w:val="007E096F"/>
    <w:rsid w:val="007E28CB"/>
    <w:rsid w:val="007E2E05"/>
    <w:rsid w:val="007E3427"/>
    <w:rsid w:val="007E51EE"/>
    <w:rsid w:val="007E606D"/>
    <w:rsid w:val="007E6D78"/>
    <w:rsid w:val="007E7331"/>
    <w:rsid w:val="007E77E1"/>
    <w:rsid w:val="007F0880"/>
    <w:rsid w:val="007F0BFF"/>
    <w:rsid w:val="007F11F3"/>
    <w:rsid w:val="007F129B"/>
    <w:rsid w:val="007F2A53"/>
    <w:rsid w:val="007F38AA"/>
    <w:rsid w:val="007F4FB9"/>
    <w:rsid w:val="007F5A05"/>
    <w:rsid w:val="007F5AB7"/>
    <w:rsid w:val="007F5FFC"/>
    <w:rsid w:val="007F6C6D"/>
    <w:rsid w:val="007F7D53"/>
    <w:rsid w:val="007F7EB1"/>
    <w:rsid w:val="008007C9"/>
    <w:rsid w:val="008023BF"/>
    <w:rsid w:val="008037B3"/>
    <w:rsid w:val="00803BBD"/>
    <w:rsid w:val="00804E41"/>
    <w:rsid w:val="00804EE5"/>
    <w:rsid w:val="008066D8"/>
    <w:rsid w:val="00807BE2"/>
    <w:rsid w:val="0081079D"/>
    <w:rsid w:val="00810D75"/>
    <w:rsid w:val="00811BB8"/>
    <w:rsid w:val="008138C4"/>
    <w:rsid w:val="00813904"/>
    <w:rsid w:val="008146B6"/>
    <w:rsid w:val="00814B92"/>
    <w:rsid w:val="00817358"/>
    <w:rsid w:val="008176AC"/>
    <w:rsid w:val="008206B6"/>
    <w:rsid w:val="008211EC"/>
    <w:rsid w:val="008235D0"/>
    <w:rsid w:val="00824EDD"/>
    <w:rsid w:val="00825921"/>
    <w:rsid w:val="00825A32"/>
    <w:rsid w:val="00826276"/>
    <w:rsid w:val="00826E20"/>
    <w:rsid w:val="00826F63"/>
    <w:rsid w:val="00827130"/>
    <w:rsid w:val="00827517"/>
    <w:rsid w:val="00827700"/>
    <w:rsid w:val="00830CDA"/>
    <w:rsid w:val="008353F6"/>
    <w:rsid w:val="00835904"/>
    <w:rsid w:val="008371BA"/>
    <w:rsid w:val="008404E8"/>
    <w:rsid w:val="00840ACE"/>
    <w:rsid w:val="008413D1"/>
    <w:rsid w:val="00841F17"/>
    <w:rsid w:val="008427B8"/>
    <w:rsid w:val="0084339C"/>
    <w:rsid w:val="0084344A"/>
    <w:rsid w:val="00844713"/>
    <w:rsid w:val="00844D63"/>
    <w:rsid w:val="00845612"/>
    <w:rsid w:val="008459AF"/>
    <w:rsid w:val="00845D85"/>
    <w:rsid w:val="008468D5"/>
    <w:rsid w:val="00846CC6"/>
    <w:rsid w:val="008474E7"/>
    <w:rsid w:val="00850B9D"/>
    <w:rsid w:val="00850CE7"/>
    <w:rsid w:val="008510C5"/>
    <w:rsid w:val="00851C8A"/>
    <w:rsid w:val="008523C8"/>
    <w:rsid w:val="00853E0F"/>
    <w:rsid w:val="0085444C"/>
    <w:rsid w:val="008546EA"/>
    <w:rsid w:val="00854FFF"/>
    <w:rsid w:val="00855458"/>
    <w:rsid w:val="00855CEF"/>
    <w:rsid w:val="00855E77"/>
    <w:rsid w:val="00856301"/>
    <w:rsid w:val="008571B4"/>
    <w:rsid w:val="008613DA"/>
    <w:rsid w:val="00863298"/>
    <w:rsid w:val="00863A11"/>
    <w:rsid w:val="008640CE"/>
    <w:rsid w:val="00864F91"/>
    <w:rsid w:val="00865457"/>
    <w:rsid w:val="008659E5"/>
    <w:rsid w:val="00866306"/>
    <w:rsid w:val="00867E60"/>
    <w:rsid w:val="008716A9"/>
    <w:rsid w:val="0087176E"/>
    <w:rsid w:val="008725EE"/>
    <w:rsid w:val="0087260C"/>
    <w:rsid w:val="00873706"/>
    <w:rsid w:val="0087382F"/>
    <w:rsid w:val="00874F0E"/>
    <w:rsid w:val="0087514F"/>
    <w:rsid w:val="00875C52"/>
    <w:rsid w:val="00876318"/>
    <w:rsid w:val="0087674B"/>
    <w:rsid w:val="00876AB8"/>
    <w:rsid w:val="00876BAA"/>
    <w:rsid w:val="0087724B"/>
    <w:rsid w:val="008777AD"/>
    <w:rsid w:val="008779A1"/>
    <w:rsid w:val="00877B97"/>
    <w:rsid w:val="00877CDF"/>
    <w:rsid w:val="008800A9"/>
    <w:rsid w:val="00880284"/>
    <w:rsid w:val="008802F0"/>
    <w:rsid w:val="00880F45"/>
    <w:rsid w:val="00881CE9"/>
    <w:rsid w:val="00882A69"/>
    <w:rsid w:val="0088703A"/>
    <w:rsid w:val="00887249"/>
    <w:rsid w:val="00887BDD"/>
    <w:rsid w:val="00892806"/>
    <w:rsid w:val="008932B3"/>
    <w:rsid w:val="00893977"/>
    <w:rsid w:val="00893A10"/>
    <w:rsid w:val="00894396"/>
    <w:rsid w:val="00895EA4"/>
    <w:rsid w:val="0089644B"/>
    <w:rsid w:val="00896FAF"/>
    <w:rsid w:val="008972F4"/>
    <w:rsid w:val="00897575"/>
    <w:rsid w:val="00897658"/>
    <w:rsid w:val="008A0B7D"/>
    <w:rsid w:val="008A17E5"/>
    <w:rsid w:val="008A19A5"/>
    <w:rsid w:val="008A1C99"/>
    <w:rsid w:val="008A29DB"/>
    <w:rsid w:val="008A2CFD"/>
    <w:rsid w:val="008A2FB5"/>
    <w:rsid w:val="008A387C"/>
    <w:rsid w:val="008A4AA9"/>
    <w:rsid w:val="008A5DA3"/>
    <w:rsid w:val="008A70CC"/>
    <w:rsid w:val="008A7139"/>
    <w:rsid w:val="008A71AD"/>
    <w:rsid w:val="008A76D3"/>
    <w:rsid w:val="008A7DD1"/>
    <w:rsid w:val="008B0452"/>
    <w:rsid w:val="008B1388"/>
    <w:rsid w:val="008B1E99"/>
    <w:rsid w:val="008B34E5"/>
    <w:rsid w:val="008B42F3"/>
    <w:rsid w:val="008B4377"/>
    <w:rsid w:val="008B4D85"/>
    <w:rsid w:val="008B54BF"/>
    <w:rsid w:val="008B6918"/>
    <w:rsid w:val="008B6E19"/>
    <w:rsid w:val="008B72C3"/>
    <w:rsid w:val="008B754A"/>
    <w:rsid w:val="008B773C"/>
    <w:rsid w:val="008B778A"/>
    <w:rsid w:val="008B79ED"/>
    <w:rsid w:val="008C09BD"/>
    <w:rsid w:val="008C0DD4"/>
    <w:rsid w:val="008C2AC4"/>
    <w:rsid w:val="008C486F"/>
    <w:rsid w:val="008C4A1B"/>
    <w:rsid w:val="008C5882"/>
    <w:rsid w:val="008C5E06"/>
    <w:rsid w:val="008C75A0"/>
    <w:rsid w:val="008C78C4"/>
    <w:rsid w:val="008C7D99"/>
    <w:rsid w:val="008D18B7"/>
    <w:rsid w:val="008D2AC0"/>
    <w:rsid w:val="008D2BE6"/>
    <w:rsid w:val="008D3E8F"/>
    <w:rsid w:val="008D4344"/>
    <w:rsid w:val="008D54FB"/>
    <w:rsid w:val="008D571F"/>
    <w:rsid w:val="008D6941"/>
    <w:rsid w:val="008D6F54"/>
    <w:rsid w:val="008D7E4A"/>
    <w:rsid w:val="008E1B57"/>
    <w:rsid w:val="008E2252"/>
    <w:rsid w:val="008E32E9"/>
    <w:rsid w:val="008E3555"/>
    <w:rsid w:val="008E39C3"/>
    <w:rsid w:val="008E3FD6"/>
    <w:rsid w:val="008E4146"/>
    <w:rsid w:val="008E41CB"/>
    <w:rsid w:val="008E45EF"/>
    <w:rsid w:val="008E6C4A"/>
    <w:rsid w:val="008F01EE"/>
    <w:rsid w:val="008F02C8"/>
    <w:rsid w:val="008F27A3"/>
    <w:rsid w:val="008F2F9A"/>
    <w:rsid w:val="008F30CB"/>
    <w:rsid w:val="008F3A6A"/>
    <w:rsid w:val="008F45BD"/>
    <w:rsid w:val="008F46E2"/>
    <w:rsid w:val="008F5662"/>
    <w:rsid w:val="008F5B86"/>
    <w:rsid w:val="008F6163"/>
    <w:rsid w:val="008F6248"/>
    <w:rsid w:val="008F6387"/>
    <w:rsid w:val="008F6682"/>
    <w:rsid w:val="00900428"/>
    <w:rsid w:val="0090186E"/>
    <w:rsid w:val="009019AB"/>
    <w:rsid w:val="00901B0D"/>
    <w:rsid w:val="00901FEC"/>
    <w:rsid w:val="009027B8"/>
    <w:rsid w:val="00903AF6"/>
    <w:rsid w:val="00903F22"/>
    <w:rsid w:val="0090432B"/>
    <w:rsid w:val="009047F4"/>
    <w:rsid w:val="00904A50"/>
    <w:rsid w:val="009066B2"/>
    <w:rsid w:val="00907B0B"/>
    <w:rsid w:val="00911D0A"/>
    <w:rsid w:val="00911FC9"/>
    <w:rsid w:val="00913BFF"/>
    <w:rsid w:val="00916C57"/>
    <w:rsid w:val="009172F2"/>
    <w:rsid w:val="009204CB"/>
    <w:rsid w:val="00920942"/>
    <w:rsid w:val="00920D52"/>
    <w:rsid w:val="0092125D"/>
    <w:rsid w:val="0092224D"/>
    <w:rsid w:val="00922704"/>
    <w:rsid w:val="0092313D"/>
    <w:rsid w:val="00923B27"/>
    <w:rsid w:val="009251BC"/>
    <w:rsid w:val="00925605"/>
    <w:rsid w:val="00925D72"/>
    <w:rsid w:val="0092689B"/>
    <w:rsid w:val="00927859"/>
    <w:rsid w:val="009301CC"/>
    <w:rsid w:val="00930544"/>
    <w:rsid w:val="0093462A"/>
    <w:rsid w:val="009358F6"/>
    <w:rsid w:val="00935BBC"/>
    <w:rsid w:val="00935BC4"/>
    <w:rsid w:val="00937616"/>
    <w:rsid w:val="00937889"/>
    <w:rsid w:val="00937FEE"/>
    <w:rsid w:val="00940D56"/>
    <w:rsid w:val="009417CF"/>
    <w:rsid w:val="00942784"/>
    <w:rsid w:val="00942BA2"/>
    <w:rsid w:val="00942F3C"/>
    <w:rsid w:val="00944DF8"/>
    <w:rsid w:val="00944F3B"/>
    <w:rsid w:val="009457F6"/>
    <w:rsid w:val="00945CB1"/>
    <w:rsid w:val="00946811"/>
    <w:rsid w:val="00946B93"/>
    <w:rsid w:val="0094765D"/>
    <w:rsid w:val="0095076B"/>
    <w:rsid w:val="00952107"/>
    <w:rsid w:val="00952CE2"/>
    <w:rsid w:val="00952F6A"/>
    <w:rsid w:val="009532F1"/>
    <w:rsid w:val="009536CB"/>
    <w:rsid w:val="0095449E"/>
    <w:rsid w:val="00954B3F"/>
    <w:rsid w:val="00955585"/>
    <w:rsid w:val="00956022"/>
    <w:rsid w:val="0095622F"/>
    <w:rsid w:val="0095653C"/>
    <w:rsid w:val="00956673"/>
    <w:rsid w:val="009566D2"/>
    <w:rsid w:val="00956C77"/>
    <w:rsid w:val="00957249"/>
    <w:rsid w:val="009579A7"/>
    <w:rsid w:val="00961D5D"/>
    <w:rsid w:val="00961F33"/>
    <w:rsid w:val="00962699"/>
    <w:rsid w:val="0096517F"/>
    <w:rsid w:val="0096545B"/>
    <w:rsid w:val="0096578D"/>
    <w:rsid w:val="00966FB5"/>
    <w:rsid w:val="00970F8E"/>
    <w:rsid w:val="00972497"/>
    <w:rsid w:val="00972677"/>
    <w:rsid w:val="009728D6"/>
    <w:rsid w:val="00972A6F"/>
    <w:rsid w:val="00973267"/>
    <w:rsid w:val="0097391D"/>
    <w:rsid w:val="009742C7"/>
    <w:rsid w:val="00974301"/>
    <w:rsid w:val="00974AE0"/>
    <w:rsid w:val="0097591B"/>
    <w:rsid w:val="0097623E"/>
    <w:rsid w:val="00977149"/>
    <w:rsid w:val="009806D0"/>
    <w:rsid w:val="00980861"/>
    <w:rsid w:val="00982272"/>
    <w:rsid w:val="00982C01"/>
    <w:rsid w:val="00985221"/>
    <w:rsid w:val="00985FC6"/>
    <w:rsid w:val="00985FD1"/>
    <w:rsid w:val="009861D4"/>
    <w:rsid w:val="009866B5"/>
    <w:rsid w:val="0099046E"/>
    <w:rsid w:val="009906CC"/>
    <w:rsid w:val="00990C85"/>
    <w:rsid w:val="0099211D"/>
    <w:rsid w:val="009921EF"/>
    <w:rsid w:val="009947F7"/>
    <w:rsid w:val="009A0520"/>
    <w:rsid w:val="009A1058"/>
    <w:rsid w:val="009A1856"/>
    <w:rsid w:val="009A1D8E"/>
    <w:rsid w:val="009A289F"/>
    <w:rsid w:val="009A2BA2"/>
    <w:rsid w:val="009A2DA3"/>
    <w:rsid w:val="009A2EE1"/>
    <w:rsid w:val="009A2FC5"/>
    <w:rsid w:val="009A3F39"/>
    <w:rsid w:val="009A45E4"/>
    <w:rsid w:val="009A5341"/>
    <w:rsid w:val="009A559C"/>
    <w:rsid w:val="009A5B60"/>
    <w:rsid w:val="009A7C14"/>
    <w:rsid w:val="009B0374"/>
    <w:rsid w:val="009B0D8A"/>
    <w:rsid w:val="009B120D"/>
    <w:rsid w:val="009B18C4"/>
    <w:rsid w:val="009B2222"/>
    <w:rsid w:val="009B2C87"/>
    <w:rsid w:val="009B36BC"/>
    <w:rsid w:val="009B39FC"/>
    <w:rsid w:val="009B4136"/>
    <w:rsid w:val="009B42C2"/>
    <w:rsid w:val="009B4EA5"/>
    <w:rsid w:val="009B52C7"/>
    <w:rsid w:val="009B5EC4"/>
    <w:rsid w:val="009B6B54"/>
    <w:rsid w:val="009B6E24"/>
    <w:rsid w:val="009B7752"/>
    <w:rsid w:val="009B781B"/>
    <w:rsid w:val="009B7FB7"/>
    <w:rsid w:val="009C00CF"/>
    <w:rsid w:val="009C25EF"/>
    <w:rsid w:val="009C2D16"/>
    <w:rsid w:val="009C3AFC"/>
    <w:rsid w:val="009C40BC"/>
    <w:rsid w:val="009C4546"/>
    <w:rsid w:val="009C45A8"/>
    <w:rsid w:val="009C4E26"/>
    <w:rsid w:val="009C5A3F"/>
    <w:rsid w:val="009C71D8"/>
    <w:rsid w:val="009C7F40"/>
    <w:rsid w:val="009D0431"/>
    <w:rsid w:val="009D0D0E"/>
    <w:rsid w:val="009D18C1"/>
    <w:rsid w:val="009D1A64"/>
    <w:rsid w:val="009D2103"/>
    <w:rsid w:val="009D2C30"/>
    <w:rsid w:val="009D2C88"/>
    <w:rsid w:val="009D30F5"/>
    <w:rsid w:val="009D32BA"/>
    <w:rsid w:val="009D3E0E"/>
    <w:rsid w:val="009D4391"/>
    <w:rsid w:val="009D5197"/>
    <w:rsid w:val="009D5261"/>
    <w:rsid w:val="009D5985"/>
    <w:rsid w:val="009D7B52"/>
    <w:rsid w:val="009E09D6"/>
    <w:rsid w:val="009E1986"/>
    <w:rsid w:val="009E38A4"/>
    <w:rsid w:val="009E3F5E"/>
    <w:rsid w:val="009E4161"/>
    <w:rsid w:val="009E5F4A"/>
    <w:rsid w:val="009E6519"/>
    <w:rsid w:val="009E716D"/>
    <w:rsid w:val="009E77CA"/>
    <w:rsid w:val="009E782F"/>
    <w:rsid w:val="009E7E12"/>
    <w:rsid w:val="009F12DC"/>
    <w:rsid w:val="009F139A"/>
    <w:rsid w:val="009F1507"/>
    <w:rsid w:val="009F18E8"/>
    <w:rsid w:val="009F20CD"/>
    <w:rsid w:val="009F49CF"/>
    <w:rsid w:val="009F5D26"/>
    <w:rsid w:val="009F6040"/>
    <w:rsid w:val="009F733E"/>
    <w:rsid w:val="009F7F21"/>
    <w:rsid w:val="00A00BF6"/>
    <w:rsid w:val="00A01789"/>
    <w:rsid w:val="00A017AE"/>
    <w:rsid w:val="00A01AE5"/>
    <w:rsid w:val="00A01DA5"/>
    <w:rsid w:val="00A0256B"/>
    <w:rsid w:val="00A03A3B"/>
    <w:rsid w:val="00A04509"/>
    <w:rsid w:val="00A046CC"/>
    <w:rsid w:val="00A04954"/>
    <w:rsid w:val="00A0790C"/>
    <w:rsid w:val="00A07F88"/>
    <w:rsid w:val="00A10031"/>
    <w:rsid w:val="00A104A8"/>
    <w:rsid w:val="00A109AE"/>
    <w:rsid w:val="00A10EC2"/>
    <w:rsid w:val="00A11C14"/>
    <w:rsid w:val="00A1237E"/>
    <w:rsid w:val="00A12CC8"/>
    <w:rsid w:val="00A13CE3"/>
    <w:rsid w:val="00A143BF"/>
    <w:rsid w:val="00A145CA"/>
    <w:rsid w:val="00A148C7"/>
    <w:rsid w:val="00A14E36"/>
    <w:rsid w:val="00A16310"/>
    <w:rsid w:val="00A172F0"/>
    <w:rsid w:val="00A204B5"/>
    <w:rsid w:val="00A205DD"/>
    <w:rsid w:val="00A20CF5"/>
    <w:rsid w:val="00A20DBB"/>
    <w:rsid w:val="00A210D9"/>
    <w:rsid w:val="00A215CE"/>
    <w:rsid w:val="00A21CC7"/>
    <w:rsid w:val="00A22599"/>
    <w:rsid w:val="00A23075"/>
    <w:rsid w:val="00A23A00"/>
    <w:rsid w:val="00A24FA2"/>
    <w:rsid w:val="00A258ED"/>
    <w:rsid w:val="00A260D1"/>
    <w:rsid w:val="00A2663C"/>
    <w:rsid w:val="00A26FFD"/>
    <w:rsid w:val="00A30BD1"/>
    <w:rsid w:val="00A30C5F"/>
    <w:rsid w:val="00A31054"/>
    <w:rsid w:val="00A3137E"/>
    <w:rsid w:val="00A33663"/>
    <w:rsid w:val="00A336E5"/>
    <w:rsid w:val="00A339AA"/>
    <w:rsid w:val="00A34E2C"/>
    <w:rsid w:val="00A35C9F"/>
    <w:rsid w:val="00A36F86"/>
    <w:rsid w:val="00A4047C"/>
    <w:rsid w:val="00A417C2"/>
    <w:rsid w:val="00A417F3"/>
    <w:rsid w:val="00A41F2F"/>
    <w:rsid w:val="00A426DF"/>
    <w:rsid w:val="00A43443"/>
    <w:rsid w:val="00A43A5D"/>
    <w:rsid w:val="00A43DA1"/>
    <w:rsid w:val="00A44071"/>
    <w:rsid w:val="00A441E8"/>
    <w:rsid w:val="00A44A46"/>
    <w:rsid w:val="00A454BC"/>
    <w:rsid w:val="00A475E9"/>
    <w:rsid w:val="00A52A96"/>
    <w:rsid w:val="00A535B8"/>
    <w:rsid w:val="00A53923"/>
    <w:rsid w:val="00A54F22"/>
    <w:rsid w:val="00A6194F"/>
    <w:rsid w:val="00A619BA"/>
    <w:rsid w:val="00A61FC6"/>
    <w:rsid w:val="00A62207"/>
    <w:rsid w:val="00A62323"/>
    <w:rsid w:val="00A63316"/>
    <w:rsid w:val="00A661A6"/>
    <w:rsid w:val="00A672ED"/>
    <w:rsid w:val="00A67ECE"/>
    <w:rsid w:val="00A71FD3"/>
    <w:rsid w:val="00A722A0"/>
    <w:rsid w:val="00A7325B"/>
    <w:rsid w:val="00A732F4"/>
    <w:rsid w:val="00A736B5"/>
    <w:rsid w:val="00A73A70"/>
    <w:rsid w:val="00A73EFA"/>
    <w:rsid w:val="00A7458F"/>
    <w:rsid w:val="00A74891"/>
    <w:rsid w:val="00A7492D"/>
    <w:rsid w:val="00A756CC"/>
    <w:rsid w:val="00A7574F"/>
    <w:rsid w:val="00A7615C"/>
    <w:rsid w:val="00A76291"/>
    <w:rsid w:val="00A77D3C"/>
    <w:rsid w:val="00A8072C"/>
    <w:rsid w:val="00A807A1"/>
    <w:rsid w:val="00A8087F"/>
    <w:rsid w:val="00A80DC8"/>
    <w:rsid w:val="00A81C10"/>
    <w:rsid w:val="00A82BE1"/>
    <w:rsid w:val="00A85BF1"/>
    <w:rsid w:val="00A86826"/>
    <w:rsid w:val="00A87190"/>
    <w:rsid w:val="00A875E7"/>
    <w:rsid w:val="00A907CF"/>
    <w:rsid w:val="00A90EF1"/>
    <w:rsid w:val="00A9192F"/>
    <w:rsid w:val="00A92C5A"/>
    <w:rsid w:val="00A95353"/>
    <w:rsid w:val="00A96327"/>
    <w:rsid w:val="00A96EA1"/>
    <w:rsid w:val="00A96F0B"/>
    <w:rsid w:val="00A97393"/>
    <w:rsid w:val="00AA0DCE"/>
    <w:rsid w:val="00AA146E"/>
    <w:rsid w:val="00AA1F1A"/>
    <w:rsid w:val="00AA21D1"/>
    <w:rsid w:val="00AA22B9"/>
    <w:rsid w:val="00AA25F0"/>
    <w:rsid w:val="00AA28D5"/>
    <w:rsid w:val="00AA290D"/>
    <w:rsid w:val="00AA3C7B"/>
    <w:rsid w:val="00AA4B5A"/>
    <w:rsid w:val="00AA4BA9"/>
    <w:rsid w:val="00AA5635"/>
    <w:rsid w:val="00AA6355"/>
    <w:rsid w:val="00AA793B"/>
    <w:rsid w:val="00AA798F"/>
    <w:rsid w:val="00AB1CE0"/>
    <w:rsid w:val="00AB1CE1"/>
    <w:rsid w:val="00AB1E4F"/>
    <w:rsid w:val="00AB47D2"/>
    <w:rsid w:val="00AB4853"/>
    <w:rsid w:val="00AB48BA"/>
    <w:rsid w:val="00AB4E70"/>
    <w:rsid w:val="00AB5159"/>
    <w:rsid w:val="00AB5896"/>
    <w:rsid w:val="00AB7A66"/>
    <w:rsid w:val="00AC04F0"/>
    <w:rsid w:val="00AC0C61"/>
    <w:rsid w:val="00AC1787"/>
    <w:rsid w:val="00AC1E64"/>
    <w:rsid w:val="00AC1F2A"/>
    <w:rsid w:val="00AC234E"/>
    <w:rsid w:val="00AC35E6"/>
    <w:rsid w:val="00AC5686"/>
    <w:rsid w:val="00AC63F1"/>
    <w:rsid w:val="00AC7A4C"/>
    <w:rsid w:val="00AD0561"/>
    <w:rsid w:val="00AD0AD5"/>
    <w:rsid w:val="00AD1C25"/>
    <w:rsid w:val="00AD2B02"/>
    <w:rsid w:val="00AD37A1"/>
    <w:rsid w:val="00AD3CD4"/>
    <w:rsid w:val="00AD4C88"/>
    <w:rsid w:val="00AD4D98"/>
    <w:rsid w:val="00AD5575"/>
    <w:rsid w:val="00AD578D"/>
    <w:rsid w:val="00AD5948"/>
    <w:rsid w:val="00AD5EB5"/>
    <w:rsid w:val="00AE0D8B"/>
    <w:rsid w:val="00AE138A"/>
    <w:rsid w:val="00AE1B99"/>
    <w:rsid w:val="00AE2123"/>
    <w:rsid w:val="00AE2514"/>
    <w:rsid w:val="00AE2541"/>
    <w:rsid w:val="00AE4435"/>
    <w:rsid w:val="00AE447A"/>
    <w:rsid w:val="00AE474C"/>
    <w:rsid w:val="00AE48BB"/>
    <w:rsid w:val="00AE4AFE"/>
    <w:rsid w:val="00AE4C9D"/>
    <w:rsid w:val="00AE5A1F"/>
    <w:rsid w:val="00AE73A5"/>
    <w:rsid w:val="00AE7511"/>
    <w:rsid w:val="00AF0CB0"/>
    <w:rsid w:val="00AF1BA2"/>
    <w:rsid w:val="00AF2552"/>
    <w:rsid w:val="00AF3090"/>
    <w:rsid w:val="00AF4EC5"/>
    <w:rsid w:val="00AF5758"/>
    <w:rsid w:val="00AF7A3D"/>
    <w:rsid w:val="00B00C6F"/>
    <w:rsid w:val="00B0159C"/>
    <w:rsid w:val="00B01E35"/>
    <w:rsid w:val="00B027C5"/>
    <w:rsid w:val="00B02ED0"/>
    <w:rsid w:val="00B03DAD"/>
    <w:rsid w:val="00B04307"/>
    <w:rsid w:val="00B04F35"/>
    <w:rsid w:val="00B05633"/>
    <w:rsid w:val="00B06B45"/>
    <w:rsid w:val="00B06C44"/>
    <w:rsid w:val="00B06E2B"/>
    <w:rsid w:val="00B107CC"/>
    <w:rsid w:val="00B1239B"/>
    <w:rsid w:val="00B12E0F"/>
    <w:rsid w:val="00B13E33"/>
    <w:rsid w:val="00B155B7"/>
    <w:rsid w:val="00B155C7"/>
    <w:rsid w:val="00B1649E"/>
    <w:rsid w:val="00B17C8E"/>
    <w:rsid w:val="00B17F52"/>
    <w:rsid w:val="00B20160"/>
    <w:rsid w:val="00B20CC8"/>
    <w:rsid w:val="00B21513"/>
    <w:rsid w:val="00B21957"/>
    <w:rsid w:val="00B23124"/>
    <w:rsid w:val="00B23858"/>
    <w:rsid w:val="00B265FF"/>
    <w:rsid w:val="00B2784B"/>
    <w:rsid w:val="00B27CB4"/>
    <w:rsid w:val="00B30D8D"/>
    <w:rsid w:val="00B322BE"/>
    <w:rsid w:val="00B32E0C"/>
    <w:rsid w:val="00B342D4"/>
    <w:rsid w:val="00B3469C"/>
    <w:rsid w:val="00B34D4D"/>
    <w:rsid w:val="00B353B6"/>
    <w:rsid w:val="00B35AD8"/>
    <w:rsid w:val="00B370D9"/>
    <w:rsid w:val="00B4007F"/>
    <w:rsid w:val="00B40091"/>
    <w:rsid w:val="00B406D8"/>
    <w:rsid w:val="00B40D91"/>
    <w:rsid w:val="00B41A6F"/>
    <w:rsid w:val="00B41BF3"/>
    <w:rsid w:val="00B42721"/>
    <w:rsid w:val="00B4288D"/>
    <w:rsid w:val="00B42E5A"/>
    <w:rsid w:val="00B4397D"/>
    <w:rsid w:val="00B45ECE"/>
    <w:rsid w:val="00B46664"/>
    <w:rsid w:val="00B46A77"/>
    <w:rsid w:val="00B47754"/>
    <w:rsid w:val="00B47B84"/>
    <w:rsid w:val="00B47BBD"/>
    <w:rsid w:val="00B506E3"/>
    <w:rsid w:val="00B50E21"/>
    <w:rsid w:val="00B51943"/>
    <w:rsid w:val="00B519FD"/>
    <w:rsid w:val="00B52593"/>
    <w:rsid w:val="00B55905"/>
    <w:rsid w:val="00B5719B"/>
    <w:rsid w:val="00B57BE8"/>
    <w:rsid w:val="00B6099A"/>
    <w:rsid w:val="00B612E7"/>
    <w:rsid w:val="00B61AF4"/>
    <w:rsid w:val="00B62214"/>
    <w:rsid w:val="00B62C42"/>
    <w:rsid w:val="00B63FFD"/>
    <w:rsid w:val="00B65493"/>
    <w:rsid w:val="00B65A31"/>
    <w:rsid w:val="00B66371"/>
    <w:rsid w:val="00B666F0"/>
    <w:rsid w:val="00B6775C"/>
    <w:rsid w:val="00B67BBD"/>
    <w:rsid w:val="00B67CCD"/>
    <w:rsid w:val="00B70AFD"/>
    <w:rsid w:val="00B70B9E"/>
    <w:rsid w:val="00B7120E"/>
    <w:rsid w:val="00B74867"/>
    <w:rsid w:val="00B75320"/>
    <w:rsid w:val="00B753A3"/>
    <w:rsid w:val="00B756AE"/>
    <w:rsid w:val="00B75EF3"/>
    <w:rsid w:val="00B76B5F"/>
    <w:rsid w:val="00B7780D"/>
    <w:rsid w:val="00B77B0D"/>
    <w:rsid w:val="00B8000B"/>
    <w:rsid w:val="00B80A1C"/>
    <w:rsid w:val="00B80C88"/>
    <w:rsid w:val="00B81D87"/>
    <w:rsid w:val="00B82914"/>
    <w:rsid w:val="00B83BFD"/>
    <w:rsid w:val="00B84109"/>
    <w:rsid w:val="00B869FC"/>
    <w:rsid w:val="00B87CA9"/>
    <w:rsid w:val="00B917C5"/>
    <w:rsid w:val="00B92ED2"/>
    <w:rsid w:val="00B934CF"/>
    <w:rsid w:val="00B93881"/>
    <w:rsid w:val="00B9452D"/>
    <w:rsid w:val="00B94896"/>
    <w:rsid w:val="00B94EF5"/>
    <w:rsid w:val="00B94EF7"/>
    <w:rsid w:val="00B956AD"/>
    <w:rsid w:val="00B961CA"/>
    <w:rsid w:val="00B96531"/>
    <w:rsid w:val="00B97129"/>
    <w:rsid w:val="00B97AAE"/>
    <w:rsid w:val="00B97CDD"/>
    <w:rsid w:val="00B97F0C"/>
    <w:rsid w:val="00BA0C24"/>
    <w:rsid w:val="00BA16D5"/>
    <w:rsid w:val="00BA1EEE"/>
    <w:rsid w:val="00BA1F7C"/>
    <w:rsid w:val="00BA2266"/>
    <w:rsid w:val="00BA3F02"/>
    <w:rsid w:val="00BA3FC6"/>
    <w:rsid w:val="00BA557D"/>
    <w:rsid w:val="00BA6A39"/>
    <w:rsid w:val="00BA7CDE"/>
    <w:rsid w:val="00BA7F73"/>
    <w:rsid w:val="00BB3709"/>
    <w:rsid w:val="00BB57E7"/>
    <w:rsid w:val="00BB60F9"/>
    <w:rsid w:val="00BB6362"/>
    <w:rsid w:val="00BB677A"/>
    <w:rsid w:val="00BB6F55"/>
    <w:rsid w:val="00BC049A"/>
    <w:rsid w:val="00BC08DF"/>
    <w:rsid w:val="00BC1200"/>
    <w:rsid w:val="00BC1A59"/>
    <w:rsid w:val="00BC1B49"/>
    <w:rsid w:val="00BC2B8C"/>
    <w:rsid w:val="00BC3301"/>
    <w:rsid w:val="00BC3D47"/>
    <w:rsid w:val="00BC47A9"/>
    <w:rsid w:val="00BC4A5C"/>
    <w:rsid w:val="00BC4B19"/>
    <w:rsid w:val="00BC5852"/>
    <w:rsid w:val="00BC6823"/>
    <w:rsid w:val="00BC71BD"/>
    <w:rsid w:val="00BD1564"/>
    <w:rsid w:val="00BD2AB4"/>
    <w:rsid w:val="00BD2BD6"/>
    <w:rsid w:val="00BD3ED6"/>
    <w:rsid w:val="00BD4063"/>
    <w:rsid w:val="00BD4D24"/>
    <w:rsid w:val="00BD50C2"/>
    <w:rsid w:val="00BD60AE"/>
    <w:rsid w:val="00BD6B87"/>
    <w:rsid w:val="00BD7D71"/>
    <w:rsid w:val="00BE01D1"/>
    <w:rsid w:val="00BE078E"/>
    <w:rsid w:val="00BE0826"/>
    <w:rsid w:val="00BE0D14"/>
    <w:rsid w:val="00BE117C"/>
    <w:rsid w:val="00BE26B5"/>
    <w:rsid w:val="00BE3EB9"/>
    <w:rsid w:val="00BE4125"/>
    <w:rsid w:val="00BE4376"/>
    <w:rsid w:val="00BE5CF3"/>
    <w:rsid w:val="00BE6A25"/>
    <w:rsid w:val="00BE6A7C"/>
    <w:rsid w:val="00BE6BAD"/>
    <w:rsid w:val="00BE7DE3"/>
    <w:rsid w:val="00BF025F"/>
    <w:rsid w:val="00BF0FC9"/>
    <w:rsid w:val="00BF2563"/>
    <w:rsid w:val="00BF38CF"/>
    <w:rsid w:val="00BF3F8B"/>
    <w:rsid w:val="00BF5A03"/>
    <w:rsid w:val="00BF5EAC"/>
    <w:rsid w:val="00BF6386"/>
    <w:rsid w:val="00BF6891"/>
    <w:rsid w:val="00BF719A"/>
    <w:rsid w:val="00BF71EC"/>
    <w:rsid w:val="00BF72AD"/>
    <w:rsid w:val="00BF789C"/>
    <w:rsid w:val="00BF7C2E"/>
    <w:rsid w:val="00C00618"/>
    <w:rsid w:val="00C0156A"/>
    <w:rsid w:val="00C016C6"/>
    <w:rsid w:val="00C0203C"/>
    <w:rsid w:val="00C039B0"/>
    <w:rsid w:val="00C03EBB"/>
    <w:rsid w:val="00C04E54"/>
    <w:rsid w:val="00C07002"/>
    <w:rsid w:val="00C07FCB"/>
    <w:rsid w:val="00C1028F"/>
    <w:rsid w:val="00C10E65"/>
    <w:rsid w:val="00C11361"/>
    <w:rsid w:val="00C1170E"/>
    <w:rsid w:val="00C11A22"/>
    <w:rsid w:val="00C12888"/>
    <w:rsid w:val="00C13ACC"/>
    <w:rsid w:val="00C13EAC"/>
    <w:rsid w:val="00C158F7"/>
    <w:rsid w:val="00C15FF8"/>
    <w:rsid w:val="00C16BCE"/>
    <w:rsid w:val="00C16E09"/>
    <w:rsid w:val="00C173E2"/>
    <w:rsid w:val="00C20F61"/>
    <w:rsid w:val="00C21595"/>
    <w:rsid w:val="00C22960"/>
    <w:rsid w:val="00C22DF8"/>
    <w:rsid w:val="00C2363B"/>
    <w:rsid w:val="00C24ABE"/>
    <w:rsid w:val="00C24F6E"/>
    <w:rsid w:val="00C260EC"/>
    <w:rsid w:val="00C30AA4"/>
    <w:rsid w:val="00C30CB0"/>
    <w:rsid w:val="00C319E1"/>
    <w:rsid w:val="00C3201B"/>
    <w:rsid w:val="00C325F6"/>
    <w:rsid w:val="00C32BEB"/>
    <w:rsid w:val="00C33E0F"/>
    <w:rsid w:val="00C33FBC"/>
    <w:rsid w:val="00C34ED5"/>
    <w:rsid w:val="00C3530E"/>
    <w:rsid w:val="00C36815"/>
    <w:rsid w:val="00C379CA"/>
    <w:rsid w:val="00C379CE"/>
    <w:rsid w:val="00C37A50"/>
    <w:rsid w:val="00C40413"/>
    <w:rsid w:val="00C43C37"/>
    <w:rsid w:val="00C449F8"/>
    <w:rsid w:val="00C44CB7"/>
    <w:rsid w:val="00C451CC"/>
    <w:rsid w:val="00C45B92"/>
    <w:rsid w:val="00C4626E"/>
    <w:rsid w:val="00C47572"/>
    <w:rsid w:val="00C47805"/>
    <w:rsid w:val="00C47A28"/>
    <w:rsid w:val="00C47C37"/>
    <w:rsid w:val="00C5007F"/>
    <w:rsid w:val="00C50A12"/>
    <w:rsid w:val="00C50ED1"/>
    <w:rsid w:val="00C516A3"/>
    <w:rsid w:val="00C52093"/>
    <w:rsid w:val="00C54450"/>
    <w:rsid w:val="00C54E98"/>
    <w:rsid w:val="00C5563F"/>
    <w:rsid w:val="00C56329"/>
    <w:rsid w:val="00C57300"/>
    <w:rsid w:val="00C573EC"/>
    <w:rsid w:val="00C57BCF"/>
    <w:rsid w:val="00C603E1"/>
    <w:rsid w:val="00C647A8"/>
    <w:rsid w:val="00C64E5C"/>
    <w:rsid w:val="00C65F49"/>
    <w:rsid w:val="00C6617B"/>
    <w:rsid w:val="00C674D2"/>
    <w:rsid w:val="00C67765"/>
    <w:rsid w:val="00C67E2D"/>
    <w:rsid w:val="00C67F67"/>
    <w:rsid w:val="00C67F6C"/>
    <w:rsid w:val="00C705A2"/>
    <w:rsid w:val="00C70AC3"/>
    <w:rsid w:val="00C70AFB"/>
    <w:rsid w:val="00C7150B"/>
    <w:rsid w:val="00C71E90"/>
    <w:rsid w:val="00C72C5F"/>
    <w:rsid w:val="00C72F14"/>
    <w:rsid w:val="00C750BB"/>
    <w:rsid w:val="00C754AA"/>
    <w:rsid w:val="00C757DD"/>
    <w:rsid w:val="00C75CB7"/>
    <w:rsid w:val="00C769E2"/>
    <w:rsid w:val="00C777DF"/>
    <w:rsid w:val="00C821F1"/>
    <w:rsid w:val="00C82E8A"/>
    <w:rsid w:val="00C83853"/>
    <w:rsid w:val="00C8386C"/>
    <w:rsid w:val="00C83BCD"/>
    <w:rsid w:val="00C8428C"/>
    <w:rsid w:val="00C85297"/>
    <w:rsid w:val="00C8566D"/>
    <w:rsid w:val="00C86659"/>
    <w:rsid w:val="00C871CA"/>
    <w:rsid w:val="00C90D83"/>
    <w:rsid w:val="00C90FE3"/>
    <w:rsid w:val="00C9126E"/>
    <w:rsid w:val="00C91581"/>
    <w:rsid w:val="00C9165C"/>
    <w:rsid w:val="00C92263"/>
    <w:rsid w:val="00C92B18"/>
    <w:rsid w:val="00C92D48"/>
    <w:rsid w:val="00C93290"/>
    <w:rsid w:val="00C952EB"/>
    <w:rsid w:val="00C95F57"/>
    <w:rsid w:val="00C96BC2"/>
    <w:rsid w:val="00C979FE"/>
    <w:rsid w:val="00C97B9E"/>
    <w:rsid w:val="00C97E28"/>
    <w:rsid w:val="00CA0FDE"/>
    <w:rsid w:val="00CA1C39"/>
    <w:rsid w:val="00CA2D1C"/>
    <w:rsid w:val="00CA2E65"/>
    <w:rsid w:val="00CA3BF9"/>
    <w:rsid w:val="00CA3D4E"/>
    <w:rsid w:val="00CA406E"/>
    <w:rsid w:val="00CA44F9"/>
    <w:rsid w:val="00CA5E21"/>
    <w:rsid w:val="00CA7144"/>
    <w:rsid w:val="00CA78DB"/>
    <w:rsid w:val="00CB004F"/>
    <w:rsid w:val="00CB0542"/>
    <w:rsid w:val="00CB15E3"/>
    <w:rsid w:val="00CB1967"/>
    <w:rsid w:val="00CB42B9"/>
    <w:rsid w:val="00CB42C9"/>
    <w:rsid w:val="00CB4933"/>
    <w:rsid w:val="00CB57ED"/>
    <w:rsid w:val="00CB5C13"/>
    <w:rsid w:val="00CB6360"/>
    <w:rsid w:val="00CB70AB"/>
    <w:rsid w:val="00CC0E8D"/>
    <w:rsid w:val="00CC2815"/>
    <w:rsid w:val="00CC2A55"/>
    <w:rsid w:val="00CC2EAC"/>
    <w:rsid w:val="00CC33A3"/>
    <w:rsid w:val="00CC4D44"/>
    <w:rsid w:val="00CC5173"/>
    <w:rsid w:val="00CC58E2"/>
    <w:rsid w:val="00CC5A95"/>
    <w:rsid w:val="00CC73D0"/>
    <w:rsid w:val="00CD1068"/>
    <w:rsid w:val="00CD196A"/>
    <w:rsid w:val="00CD277B"/>
    <w:rsid w:val="00CD27C3"/>
    <w:rsid w:val="00CD30E4"/>
    <w:rsid w:val="00CD34F8"/>
    <w:rsid w:val="00CD35D9"/>
    <w:rsid w:val="00CD45C7"/>
    <w:rsid w:val="00CD6643"/>
    <w:rsid w:val="00CD698E"/>
    <w:rsid w:val="00CD6E29"/>
    <w:rsid w:val="00CD6FB0"/>
    <w:rsid w:val="00CD70C5"/>
    <w:rsid w:val="00CD7940"/>
    <w:rsid w:val="00CE0267"/>
    <w:rsid w:val="00CE05D8"/>
    <w:rsid w:val="00CE0FE9"/>
    <w:rsid w:val="00CE14F6"/>
    <w:rsid w:val="00CE2272"/>
    <w:rsid w:val="00CE35A0"/>
    <w:rsid w:val="00CE370F"/>
    <w:rsid w:val="00CE4882"/>
    <w:rsid w:val="00CE533E"/>
    <w:rsid w:val="00CE692E"/>
    <w:rsid w:val="00CE6B42"/>
    <w:rsid w:val="00CE741B"/>
    <w:rsid w:val="00CF1C32"/>
    <w:rsid w:val="00CF30BC"/>
    <w:rsid w:val="00CF3DB7"/>
    <w:rsid w:val="00CF522B"/>
    <w:rsid w:val="00CF5B00"/>
    <w:rsid w:val="00CF5FA4"/>
    <w:rsid w:val="00CF64CB"/>
    <w:rsid w:val="00CF6BB4"/>
    <w:rsid w:val="00CF73B6"/>
    <w:rsid w:val="00CF796D"/>
    <w:rsid w:val="00CF7BCD"/>
    <w:rsid w:val="00D00149"/>
    <w:rsid w:val="00D00B2F"/>
    <w:rsid w:val="00D00C79"/>
    <w:rsid w:val="00D00CEB"/>
    <w:rsid w:val="00D01272"/>
    <w:rsid w:val="00D0146F"/>
    <w:rsid w:val="00D014A8"/>
    <w:rsid w:val="00D01A04"/>
    <w:rsid w:val="00D03409"/>
    <w:rsid w:val="00D0340A"/>
    <w:rsid w:val="00D03AFD"/>
    <w:rsid w:val="00D04255"/>
    <w:rsid w:val="00D046E6"/>
    <w:rsid w:val="00D04898"/>
    <w:rsid w:val="00D04A66"/>
    <w:rsid w:val="00D04C6A"/>
    <w:rsid w:val="00D063E7"/>
    <w:rsid w:val="00D06F91"/>
    <w:rsid w:val="00D07723"/>
    <w:rsid w:val="00D07E51"/>
    <w:rsid w:val="00D11FC4"/>
    <w:rsid w:val="00D12066"/>
    <w:rsid w:val="00D121B3"/>
    <w:rsid w:val="00D125D8"/>
    <w:rsid w:val="00D1301E"/>
    <w:rsid w:val="00D13B45"/>
    <w:rsid w:val="00D14F6E"/>
    <w:rsid w:val="00D15237"/>
    <w:rsid w:val="00D15C49"/>
    <w:rsid w:val="00D1636F"/>
    <w:rsid w:val="00D2078F"/>
    <w:rsid w:val="00D20F29"/>
    <w:rsid w:val="00D21403"/>
    <w:rsid w:val="00D216BD"/>
    <w:rsid w:val="00D223BC"/>
    <w:rsid w:val="00D235F4"/>
    <w:rsid w:val="00D23834"/>
    <w:rsid w:val="00D23873"/>
    <w:rsid w:val="00D2562C"/>
    <w:rsid w:val="00D25A49"/>
    <w:rsid w:val="00D26D3D"/>
    <w:rsid w:val="00D26E00"/>
    <w:rsid w:val="00D26EEB"/>
    <w:rsid w:val="00D27BDB"/>
    <w:rsid w:val="00D31551"/>
    <w:rsid w:val="00D316E0"/>
    <w:rsid w:val="00D31B10"/>
    <w:rsid w:val="00D32060"/>
    <w:rsid w:val="00D320B1"/>
    <w:rsid w:val="00D323D2"/>
    <w:rsid w:val="00D32993"/>
    <w:rsid w:val="00D33649"/>
    <w:rsid w:val="00D348A0"/>
    <w:rsid w:val="00D3498A"/>
    <w:rsid w:val="00D34991"/>
    <w:rsid w:val="00D34E9E"/>
    <w:rsid w:val="00D35509"/>
    <w:rsid w:val="00D37597"/>
    <w:rsid w:val="00D40609"/>
    <w:rsid w:val="00D408A6"/>
    <w:rsid w:val="00D416DA"/>
    <w:rsid w:val="00D4364B"/>
    <w:rsid w:val="00D440C1"/>
    <w:rsid w:val="00D44538"/>
    <w:rsid w:val="00D45D72"/>
    <w:rsid w:val="00D45F46"/>
    <w:rsid w:val="00D4610F"/>
    <w:rsid w:val="00D50277"/>
    <w:rsid w:val="00D5201E"/>
    <w:rsid w:val="00D5304E"/>
    <w:rsid w:val="00D535F1"/>
    <w:rsid w:val="00D542A3"/>
    <w:rsid w:val="00D54955"/>
    <w:rsid w:val="00D54BCF"/>
    <w:rsid w:val="00D56740"/>
    <w:rsid w:val="00D56CE5"/>
    <w:rsid w:val="00D6205A"/>
    <w:rsid w:val="00D6274A"/>
    <w:rsid w:val="00D62CC3"/>
    <w:rsid w:val="00D65722"/>
    <w:rsid w:val="00D66B12"/>
    <w:rsid w:val="00D66CA0"/>
    <w:rsid w:val="00D677C1"/>
    <w:rsid w:val="00D67EDD"/>
    <w:rsid w:val="00D70956"/>
    <w:rsid w:val="00D70F5C"/>
    <w:rsid w:val="00D7168B"/>
    <w:rsid w:val="00D75087"/>
    <w:rsid w:val="00D75A3F"/>
    <w:rsid w:val="00D7614A"/>
    <w:rsid w:val="00D762D9"/>
    <w:rsid w:val="00D7721A"/>
    <w:rsid w:val="00D7732C"/>
    <w:rsid w:val="00D7749D"/>
    <w:rsid w:val="00D775AC"/>
    <w:rsid w:val="00D775EC"/>
    <w:rsid w:val="00D814E9"/>
    <w:rsid w:val="00D81B09"/>
    <w:rsid w:val="00D838AB"/>
    <w:rsid w:val="00D83E98"/>
    <w:rsid w:val="00D8467B"/>
    <w:rsid w:val="00D84720"/>
    <w:rsid w:val="00D851F7"/>
    <w:rsid w:val="00D852D7"/>
    <w:rsid w:val="00D8555E"/>
    <w:rsid w:val="00D86169"/>
    <w:rsid w:val="00D8639D"/>
    <w:rsid w:val="00D869AB"/>
    <w:rsid w:val="00D90365"/>
    <w:rsid w:val="00D9145D"/>
    <w:rsid w:val="00D92692"/>
    <w:rsid w:val="00D933DF"/>
    <w:rsid w:val="00D93629"/>
    <w:rsid w:val="00D93AFA"/>
    <w:rsid w:val="00D93C64"/>
    <w:rsid w:val="00D93E7A"/>
    <w:rsid w:val="00D94595"/>
    <w:rsid w:val="00D94D4A"/>
    <w:rsid w:val="00D9542D"/>
    <w:rsid w:val="00D955D7"/>
    <w:rsid w:val="00DA17A9"/>
    <w:rsid w:val="00DA4985"/>
    <w:rsid w:val="00DA5390"/>
    <w:rsid w:val="00DA5F2D"/>
    <w:rsid w:val="00DA67F6"/>
    <w:rsid w:val="00DA6B8E"/>
    <w:rsid w:val="00DA7106"/>
    <w:rsid w:val="00DA7346"/>
    <w:rsid w:val="00DB0089"/>
    <w:rsid w:val="00DB06A4"/>
    <w:rsid w:val="00DB184D"/>
    <w:rsid w:val="00DB1927"/>
    <w:rsid w:val="00DB2D15"/>
    <w:rsid w:val="00DB3967"/>
    <w:rsid w:val="00DB44BD"/>
    <w:rsid w:val="00DB47F2"/>
    <w:rsid w:val="00DB5E59"/>
    <w:rsid w:val="00DB680C"/>
    <w:rsid w:val="00DB7279"/>
    <w:rsid w:val="00DB7ADB"/>
    <w:rsid w:val="00DC15B0"/>
    <w:rsid w:val="00DC181C"/>
    <w:rsid w:val="00DC193A"/>
    <w:rsid w:val="00DC36D3"/>
    <w:rsid w:val="00DC37C1"/>
    <w:rsid w:val="00DC50BF"/>
    <w:rsid w:val="00DC57E9"/>
    <w:rsid w:val="00DC5890"/>
    <w:rsid w:val="00DC63C7"/>
    <w:rsid w:val="00DC64EA"/>
    <w:rsid w:val="00DC7F12"/>
    <w:rsid w:val="00DD0D83"/>
    <w:rsid w:val="00DD0E28"/>
    <w:rsid w:val="00DD0FB6"/>
    <w:rsid w:val="00DD10CA"/>
    <w:rsid w:val="00DD16C7"/>
    <w:rsid w:val="00DD3826"/>
    <w:rsid w:val="00DD530D"/>
    <w:rsid w:val="00DD53C7"/>
    <w:rsid w:val="00DD592D"/>
    <w:rsid w:val="00DD5AA3"/>
    <w:rsid w:val="00DD5E0F"/>
    <w:rsid w:val="00DD6B4F"/>
    <w:rsid w:val="00DD6F90"/>
    <w:rsid w:val="00DE1DF1"/>
    <w:rsid w:val="00DE276C"/>
    <w:rsid w:val="00DE2B1C"/>
    <w:rsid w:val="00DE3ED7"/>
    <w:rsid w:val="00DE465F"/>
    <w:rsid w:val="00DE4EEA"/>
    <w:rsid w:val="00DE5B42"/>
    <w:rsid w:val="00DE602A"/>
    <w:rsid w:val="00DE6A3D"/>
    <w:rsid w:val="00DE713B"/>
    <w:rsid w:val="00DF088B"/>
    <w:rsid w:val="00DF0D33"/>
    <w:rsid w:val="00DF1590"/>
    <w:rsid w:val="00DF24A5"/>
    <w:rsid w:val="00DF3E80"/>
    <w:rsid w:val="00DF6052"/>
    <w:rsid w:val="00DF70D4"/>
    <w:rsid w:val="00DF72FA"/>
    <w:rsid w:val="00E001BE"/>
    <w:rsid w:val="00E014F5"/>
    <w:rsid w:val="00E0239E"/>
    <w:rsid w:val="00E0241B"/>
    <w:rsid w:val="00E03AFE"/>
    <w:rsid w:val="00E042F0"/>
    <w:rsid w:val="00E04955"/>
    <w:rsid w:val="00E052C8"/>
    <w:rsid w:val="00E05D61"/>
    <w:rsid w:val="00E068B6"/>
    <w:rsid w:val="00E06FFF"/>
    <w:rsid w:val="00E07466"/>
    <w:rsid w:val="00E07751"/>
    <w:rsid w:val="00E077D7"/>
    <w:rsid w:val="00E11003"/>
    <w:rsid w:val="00E12186"/>
    <w:rsid w:val="00E1388D"/>
    <w:rsid w:val="00E14EF5"/>
    <w:rsid w:val="00E14FE3"/>
    <w:rsid w:val="00E160DC"/>
    <w:rsid w:val="00E174C9"/>
    <w:rsid w:val="00E1758A"/>
    <w:rsid w:val="00E17FA5"/>
    <w:rsid w:val="00E205CD"/>
    <w:rsid w:val="00E21460"/>
    <w:rsid w:val="00E217EC"/>
    <w:rsid w:val="00E22DFC"/>
    <w:rsid w:val="00E230CE"/>
    <w:rsid w:val="00E24308"/>
    <w:rsid w:val="00E25979"/>
    <w:rsid w:val="00E26674"/>
    <w:rsid w:val="00E268D0"/>
    <w:rsid w:val="00E273A9"/>
    <w:rsid w:val="00E30AB9"/>
    <w:rsid w:val="00E31356"/>
    <w:rsid w:val="00E31576"/>
    <w:rsid w:val="00E3210B"/>
    <w:rsid w:val="00E325CB"/>
    <w:rsid w:val="00E32688"/>
    <w:rsid w:val="00E34200"/>
    <w:rsid w:val="00E36492"/>
    <w:rsid w:val="00E36FA6"/>
    <w:rsid w:val="00E3772C"/>
    <w:rsid w:val="00E37797"/>
    <w:rsid w:val="00E37EB5"/>
    <w:rsid w:val="00E40018"/>
    <w:rsid w:val="00E4030F"/>
    <w:rsid w:val="00E41668"/>
    <w:rsid w:val="00E41B2C"/>
    <w:rsid w:val="00E41F06"/>
    <w:rsid w:val="00E42041"/>
    <w:rsid w:val="00E421AC"/>
    <w:rsid w:val="00E42AC6"/>
    <w:rsid w:val="00E43C87"/>
    <w:rsid w:val="00E445BB"/>
    <w:rsid w:val="00E44A17"/>
    <w:rsid w:val="00E4593F"/>
    <w:rsid w:val="00E507B2"/>
    <w:rsid w:val="00E50948"/>
    <w:rsid w:val="00E51805"/>
    <w:rsid w:val="00E5696B"/>
    <w:rsid w:val="00E5755A"/>
    <w:rsid w:val="00E57950"/>
    <w:rsid w:val="00E63498"/>
    <w:rsid w:val="00E64D5C"/>
    <w:rsid w:val="00E64F29"/>
    <w:rsid w:val="00E6533C"/>
    <w:rsid w:val="00E6677E"/>
    <w:rsid w:val="00E668B7"/>
    <w:rsid w:val="00E67605"/>
    <w:rsid w:val="00E67892"/>
    <w:rsid w:val="00E67D90"/>
    <w:rsid w:val="00E71A4C"/>
    <w:rsid w:val="00E7365F"/>
    <w:rsid w:val="00E73829"/>
    <w:rsid w:val="00E73C33"/>
    <w:rsid w:val="00E7482C"/>
    <w:rsid w:val="00E74C9E"/>
    <w:rsid w:val="00E75ECA"/>
    <w:rsid w:val="00E802A4"/>
    <w:rsid w:val="00E8135F"/>
    <w:rsid w:val="00E814DF"/>
    <w:rsid w:val="00E831EB"/>
    <w:rsid w:val="00E86351"/>
    <w:rsid w:val="00E86EDC"/>
    <w:rsid w:val="00E874BD"/>
    <w:rsid w:val="00E90762"/>
    <w:rsid w:val="00E90DE6"/>
    <w:rsid w:val="00E90EF1"/>
    <w:rsid w:val="00E912FF"/>
    <w:rsid w:val="00E91BDA"/>
    <w:rsid w:val="00E92846"/>
    <w:rsid w:val="00E942B4"/>
    <w:rsid w:val="00E9504D"/>
    <w:rsid w:val="00E9599C"/>
    <w:rsid w:val="00E95E81"/>
    <w:rsid w:val="00E96E77"/>
    <w:rsid w:val="00E97583"/>
    <w:rsid w:val="00E97C43"/>
    <w:rsid w:val="00EA0AE0"/>
    <w:rsid w:val="00EA2765"/>
    <w:rsid w:val="00EA2902"/>
    <w:rsid w:val="00EA3728"/>
    <w:rsid w:val="00EA38A9"/>
    <w:rsid w:val="00EA5C69"/>
    <w:rsid w:val="00EA69CD"/>
    <w:rsid w:val="00EA780E"/>
    <w:rsid w:val="00EB4BC3"/>
    <w:rsid w:val="00EB57A5"/>
    <w:rsid w:val="00EB6673"/>
    <w:rsid w:val="00EB6A1F"/>
    <w:rsid w:val="00EB6E96"/>
    <w:rsid w:val="00EB745E"/>
    <w:rsid w:val="00EB7B31"/>
    <w:rsid w:val="00EB7CC7"/>
    <w:rsid w:val="00EC1188"/>
    <w:rsid w:val="00EC119B"/>
    <w:rsid w:val="00EC1658"/>
    <w:rsid w:val="00EC2FEF"/>
    <w:rsid w:val="00EC3948"/>
    <w:rsid w:val="00EC430C"/>
    <w:rsid w:val="00EC57DC"/>
    <w:rsid w:val="00EC5CD2"/>
    <w:rsid w:val="00EC63D9"/>
    <w:rsid w:val="00EC7A2B"/>
    <w:rsid w:val="00EC7BB4"/>
    <w:rsid w:val="00EC7F1D"/>
    <w:rsid w:val="00ED0CEA"/>
    <w:rsid w:val="00ED1136"/>
    <w:rsid w:val="00ED3C7C"/>
    <w:rsid w:val="00ED3F99"/>
    <w:rsid w:val="00ED3FB3"/>
    <w:rsid w:val="00ED40B5"/>
    <w:rsid w:val="00ED4416"/>
    <w:rsid w:val="00ED4BC3"/>
    <w:rsid w:val="00ED4C7E"/>
    <w:rsid w:val="00ED5726"/>
    <w:rsid w:val="00ED5B3A"/>
    <w:rsid w:val="00ED5E59"/>
    <w:rsid w:val="00ED640B"/>
    <w:rsid w:val="00ED78F3"/>
    <w:rsid w:val="00ED7EC2"/>
    <w:rsid w:val="00EE2788"/>
    <w:rsid w:val="00EE288B"/>
    <w:rsid w:val="00EE3061"/>
    <w:rsid w:val="00EE475C"/>
    <w:rsid w:val="00EE4D21"/>
    <w:rsid w:val="00EE4ED2"/>
    <w:rsid w:val="00EE555D"/>
    <w:rsid w:val="00EE633E"/>
    <w:rsid w:val="00EE676A"/>
    <w:rsid w:val="00EE6D10"/>
    <w:rsid w:val="00EE7E5D"/>
    <w:rsid w:val="00EF007F"/>
    <w:rsid w:val="00EF1E36"/>
    <w:rsid w:val="00EF2376"/>
    <w:rsid w:val="00EF4B50"/>
    <w:rsid w:val="00EF4F32"/>
    <w:rsid w:val="00EF6218"/>
    <w:rsid w:val="00EF6FB1"/>
    <w:rsid w:val="00EF770E"/>
    <w:rsid w:val="00F004E3"/>
    <w:rsid w:val="00F006DF"/>
    <w:rsid w:val="00F00745"/>
    <w:rsid w:val="00F00B74"/>
    <w:rsid w:val="00F00D3A"/>
    <w:rsid w:val="00F015B0"/>
    <w:rsid w:val="00F01DFD"/>
    <w:rsid w:val="00F0261F"/>
    <w:rsid w:val="00F0349F"/>
    <w:rsid w:val="00F0387C"/>
    <w:rsid w:val="00F04347"/>
    <w:rsid w:val="00F046F4"/>
    <w:rsid w:val="00F0664D"/>
    <w:rsid w:val="00F06B78"/>
    <w:rsid w:val="00F06F97"/>
    <w:rsid w:val="00F10678"/>
    <w:rsid w:val="00F10D5F"/>
    <w:rsid w:val="00F10F34"/>
    <w:rsid w:val="00F1106D"/>
    <w:rsid w:val="00F11664"/>
    <w:rsid w:val="00F1177C"/>
    <w:rsid w:val="00F13B58"/>
    <w:rsid w:val="00F15A1B"/>
    <w:rsid w:val="00F16AE2"/>
    <w:rsid w:val="00F177CD"/>
    <w:rsid w:val="00F17C30"/>
    <w:rsid w:val="00F17D91"/>
    <w:rsid w:val="00F200CD"/>
    <w:rsid w:val="00F20B4E"/>
    <w:rsid w:val="00F221D7"/>
    <w:rsid w:val="00F22F76"/>
    <w:rsid w:val="00F23D27"/>
    <w:rsid w:val="00F242B7"/>
    <w:rsid w:val="00F243EC"/>
    <w:rsid w:val="00F24721"/>
    <w:rsid w:val="00F269B9"/>
    <w:rsid w:val="00F30E3C"/>
    <w:rsid w:val="00F31D08"/>
    <w:rsid w:val="00F3215A"/>
    <w:rsid w:val="00F32381"/>
    <w:rsid w:val="00F34FFE"/>
    <w:rsid w:val="00F36310"/>
    <w:rsid w:val="00F36FD5"/>
    <w:rsid w:val="00F37E30"/>
    <w:rsid w:val="00F42FAC"/>
    <w:rsid w:val="00F433B6"/>
    <w:rsid w:val="00F434A4"/>
    <w:rsid w:val="00F43B60"/>
    <w:rsid w:val="00F43FF5"/>
    <w:rsid w:val="00F44F86"/>
    <w:rsid w:val="00F45D45"/>
    <w:rsid w:val="00F4675B"/>
    <w:rsid w:val="00F4708C"/>
    <w:rsid w:val="00F50EC1"/>
    <w:rsid w:val="00F513E0"/>
    <w:rsid w:val="00F51756"/>
    <w:rsid w:val="00F53245"/>
    <w:rsid w:val="00F53620"/>
    <w:rsid w:val="00F543AC"/>
    <w:rsid w:val="00F5440E"/>
    <w:rsid w:val="00F54497"/>
    <w:rsid w:val="00F54B43"/>
    <w:rsid w:val="00F54BED"/>
    <w:rsid w:val="00F55661"/>
    <w:rsid w:val="00F55A2B"/>
    <w:rsid w:val="00F55EE8"/>
    <w:rsid w:val="00F57611"/>
    <w:rsid w:val="00F579C8"/>
    <w:rsid w:val="00F60270"/>
    <w:rsid w:val="00F60DA6"/>
    <w:rsid w:val="00F61056"/>
    <w:rsid w:val="00F61AE5"/>
    <w:rsid w:val="00F6251B"/>
    <w:rsid w:val="00F62FB8"/>
    <w:rsid w:val="00F63080"/>
    <w:rsid w:val="00F63D52"/>
    <w:rsid w:val="00F640DB"/>
    <w:rsid w:val="00F64472"/>
    <w:rsid w:val="00F65B63"/>
    <w:rsid w:val="00F660D0"/>
    <w:rsid w:val="00F66C20"/>
    <w:rsid w:val="00F66DD8"/>
    <w:rsid w:val="00F671E2"/>
    <w:rsid w:val="00F70B7B"/>
    <w:rsid w:val="00F713C8"/>
    <w:rsid w:val="00F72834"/>
    <w:rsid w:val="00F74569"/>
    <w:rsid w:val="00F75287"/>
    <w:rsid w:val="00F753A8"/>
    <w:rsid w:val="00F76CA1"/>
    <w:rsid w:val="00F7740A"/>
    <w:rsid w:val="00F776A8"/>
    <w:rsid w:val="00F81307"/>
    <w:rsid w:val="00F81592"/>
    <w:rsid w:val="00F8303B"/>
    <w:rsid w:val="00F835FC"/>
    <w:rsid w:val="00F84399"/>
    <w:rsid w:val="00F8469C"/>
    <w:rsid w:val="00F84CB5"/>
    <w:rsid w:val="00F8578A"/>
    <w:rsid w:val="00F858C7"/>
    <w:rsid w:val="00F85FF5"/>
    <w:rsid w:val="00F86BFE"/>
    <w:rsid w:val="00F8789F"/>
    <w:rsid w:val="00F91D48"/>
    <w:rsid w:val="00F92309"/>
    <w:rsid w:val="00F92C01"/>
    <w:rsid w:val="00F95A95"/>
    <w:rsid w:val="00F97ED2"/>
    <w:rsid w:val="00FA00B2"/>
    <w:rsid w:val="00FA16BE"/>
    <w:rsid w:val="00FA198F"/>
    <w:rsid w:val="00FA25C4"/>
    <w:rsid w:val="00FA5381"/>
    <w:rsid w:val="00FA5F90"/>
    <w:rsid w:val="00FA60F2"/>
    <w:rsid w:val="00FA69E8"/>
    <w:rsid w:val="00FA7BFD"/>
    <w:rsid w:val="00FB0BAB"/>
    <w:rsid w:val="00FB22E8"/>
    <w:rsid w:val="00FB3528"/>
    <w:rsid w:val="00FB3A0A"/>
    <w:rsid w:val="00FB50B6"/>
    <w:rsid w:val="00FB5F2D"/>
    <w:rsid w:val="00FB6552"/>
    <w:rsid w:val="00FB6EC8"/>
    <w:rsid w:val="00FB7B3F"/>
    <w:rsid w:val="00FC07E5"/>
    <w:rsid w:val="00FC0C09"/>
    <w:rsid w:val="00FC1227"/>
    <w:rsid w:val="00FC2A97"/>
    <w:rsid w:val="00FC380E"/>
    <w:rsid w:val="00FC6278"/>
    <w:rsid w:val="00FC6FC2"/>
    <w:rsid w:val="00FC7071"/>
    <w:rsid w:val="00FC729B"/>
    <w:rsid w:val="00FC7E55"/>
    <w:rsid w:val="00FD00D1"/>
    <w:rsid w:val="00FD071F"/>
    <w:rsid w:val="00FD0C7C"/>
    <w:rsid w:val="00FD13D4"/>
    <w:rsid w:val="00FD2B9F"/>
    <w:rsid w:val="00FD3937"/>
    <w:rsid w:val="00FD4406"/>
    <w:rsid w:val="00FD5285"/>
    <w:rsid w:val="00FD5541"/>
    <w:rsid w:val="00FD56B5"/>
    <w:rsid w:val="00FD6956"/>
    <w:rsid w:val="00FD6BEA"/>
    <w:rsid w:val="00FD7738"/>
    <w:rsid w:val="00FE14C1"/>
    <w:rsid w:val="00FE225B"/>
    <w:rsid w:val="00FE3DD0"/>
    <w:rsid w:val="00FE3F07"/>
    <w:rsid w:val="00FE429F"/>
    <w:rsid w:val="00FE517C"/>
    <w:rsid w:val="00FE786C"/>
    <w:rsid w:val="00FF032F"/>
    <w:rsid w:val="00FF080E"/>
    <w:rsid w:val="00FF097D"/>
    <w:rsid w:val="00FF0C92"/>
    <w:rsid w:val="00FF13D3"/>
    <w:rsid w:val="00FF1891"/>
    <w:rsid w:val="00FF2B8A"/>
    <w:rsid w:val="00FF3207"/>
    <w:rsid w:val="00FF3813"/>
    <w:rsid w:val="00FF4767"/>
    <w:rsid w:val="00FF5239"/>
    <w:rsid w:val="00FF53A2"/>
    <w:rsid w:val="00FF55F9"/>
    <w:rsid w:val="00FF5A20"/>
    <w:rsid w:val="00FF610E"/>
    <w:rsid w:val="00FF6294"/>
    <w:rsid w:val="00FF62D6"/>
    <w:rsid w:val="00FF65F3"/>
    <w:rsid w:val="00FF6F6B"/>
    <w:rsid w:val="00FF75CE"/>
    <w:rsid w:val="00FF7D3B"/>
    <w:rsid w:val="124F7461"/>
    <w:rsid w:val="36631EA4"/>
    <w:rsid w:val="59D96DAD"/>
    <w:rsid w:val="7E1EA8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4233E4"/>
  <w15:docId w15:val="{E4C4A4EA-022F-4FB6-B591-4660231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829"/>
    <w:rPr>
      <w:sz w:val="24"/>
      <w:szCs w:val="24"/>
      <w:lang w:val="en-US" w:eastAsia="en-US"/>
    </w:rPr>
  </w:style>
  <w:style w:type="paragraph" w:styleId="Heading1">
    <w:name w:val="heading 1"/>
    <w:basedOn w:val="Normal"/>
    <w:next w:val="Normal"/>
    <w:link w:val="Heading1Char"/>
    <w:uiPriority w:val="99"/>
    <w:qFormat/>
    <w:rsid w:val="00422186"/>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2218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22186"/>
    <w:pPr>
      <w:keepNext/>
      <w:numPr>
        <w:ilvl w:val="2"/>
        <w:numId w:val="2"/>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Cambria"/>
      <w:b/>
      <w:bCs/>
      <w:sz w:val="26"/>
      <w:szCs w:val="26"/>
      <w:lang w:val="en-US" w:eastAsia="en-US"/>
    </w:rPr>
  </w:style>
  <w:style w:type="table" w:styleId="TableGrid">
    <w:name w:val="Table Grid"/>
    <w:basedOn w:val="TableNormal"/>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24"/>
      </w:numPr>
      <w:spacing w:after="120"/>
    </w:pPr>
    <w:rPr>
      <w:i/>
      <w:iCs/>
    </w:rPr>
  </w:style>
  <w:style w:type="paragraph" w:customStyle="1" w:styleId="OCJENSKIRADOVIReferencija">
    <w:name w:val="OCJENSKI_RADOVI_Referencija"/>
    <w:basedOn w:val="OCJENSKIRADOVIFontParagraph"/>
    <w:uiPriority w:val="99"/>
    <w:rsid w:val="007416FA"/>
    <w:pPr>
      <w:numPr>
        <w:numId w:val="32"/>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33"/>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24"/>
      </w:numPr>
      <w:tabs>
        <w:tab w:val="left" w:pos="1134"/>
      </w:tabs>
      <w:outlineLvl w:val="0"/>
    </w:pPr>
    <w:rPr>
      <w:caps/>
    </w:rPr>
  </w:style>
  <w:style w:type="character" w:customStyle="1" w:styleId="OCJENSKIRADOVI1NaslovpoglavljaChar">
    <w:name w:val="OCJENSKI_RADOVI_1_Naslov_poglavlja Char"/>
    <w:basedOn w:val="DefaultParagraphFont"/>
    <w:link w:val="OCJENSKIRADOVI1Naslovpoglavlja"/>
    <w:uiPriority w:val="99"/>
    <w:locked/>
    <w:rsid w:val="00BC4A5C"/>
    <w:rPr>
      <w:rFonts w:ascii="Calibri" w:hAnsi="Calibri" w:cs="Calibri"/>
      <w:b/>
      <w:bCs/>
      <w:caps/>
      <w:color w:val="auto"/>
      <w:sz w:val="24"/>
      <w:szCs w:val="24"/>
      <w:lang w:val="hr-HR"/>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DefaultParagraphFont"/>
    <w:link w:val="OCJENSKIRADOVIOdlomak3NASTAVAKODLOMKA"/>
    <w:uiPriority w:val="99"/>
    <w:locked/>
    <w:rsid w:val="0009307D"/>
    <w:rPr>
      <w:rFonts w:ascii="Calibri" w:hAnsi="Calibri" w:cs="Calibri"/>
      <w:sz w:val="24"/>
      <w:szCs w:val="24"/>
      <w:lang w:val="hr-HR"/>
    </w:rPr>
  </w:style>
  <w:style w:type="paragraph" w:styleId="TOC4">
    <w:name w:val="toc 4"/>
    <w:basedOn w:val="Normal"/>
    <w:next w:val="Normal"/>
    <w:autoRedefine/>
    <w:uiPriority w:val="99"/>
    <w:semiHidden/>
    <w:rsid w:val="00700704"/>
    <w:pPr>
      <w:ind w:left="720"/>
    </w:pPr>
  </w:style>
  <w:style w:type="character" w:styleId="Hyperlink">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24"/>
      </w:numPr>
      <w:spacing w:before="240" w:after="120"/>
      <w:outlineLvl w:val="1"/>
    </w:pPr>
    <w:rPr>
      <w:b/>
      <w:bCs/>
      <w:sz w:val="28"/>
      <w:szCs w:val="28"/>
    </w:rPr>
  </w:style>
  <w:style w:type="character" w:customStyle="1" w:styleId="OCJENSKIRADOVI2PodnaslovpoglavljaChar">
    <w:name w:val="OCJENSKI_RADOVI_2_Podnaslov_poglavlja Char"/>
    <w:basedOn w:val="DefaultParagraphFont"/>
    <w:link w:val="OCJENSKIRADOVI2Podnaslovpoglavlja"/>
    <w:uiPriority w:val="99"/>
    <w:locked/>
    <w:rsid w:val="006A7229"/>
    <w:rPr>
      <w:b/>
      <w:bCs/>
      <w:sz w:val="24"/>
      <w:szCs w:val="24"/>
      <w:lang w:val="hr-HR"/>
    </w:rPr>
  </w:style>
  <w:style w:type="paragraph" w:styleId="Header">
    <w:name w:val="header"/>
    <w:basedOn w:val="Normal"/>
    <w:link w:val="HeaderChar"/>
    <w:uiPriority w:val="99"/>
    <w:rsid w:val="00727650"/>
    <w:pPr>
      <w:tabs>
        <w:tab w:val="center" w:pos="4320"/>
        <w:tab w:val="right" w:pos="8640"/>
      </w:tabs>
    </w:pPr>
  </w:style>
  <w:style w:type="character" w:customStyle="1" w:styleId="HeaderChar">
    <w:name w:val="Header Char"/>
    <w:basedOn w:val="DefaultParagraphFont"/>
    <w:link w:val="Header"/>
    <w:uiPriority w:val="99"/>
    <w:semiHidden/>
    <w:locked/>
    <w:rPr>
      <w:sz w:val="24"/>
      <w:szCs w:val="24"/>
      <w:lang w:val="en-US" w:eastAsia="en-US"/>
    </w:rPr>
  </w:style>
  <w:style w:type="paragraph" w:styleId="Footer">
    <w:name w:val="footer"/>
    <w:basedOn w:val="Normal"/>
    <w:link w:val="FooterChar"/>
    <w:uiPriority w:val="99"/>
    <w:rsid w:val="00727650"/>
    <w:pPr>
      <w:tabs>
        <w:tab w:val="center" w:pos="4320"/>
        <w:tab w:val="right" w:pos="8640"/>
      </w:tabs>
    </w:pPr>
  </w:style>
  <w:style w:type="character" w:customStyle="1" w:styleId="FooterChar">
    <w:name w:val="Footer Char"/>
    <w:basedOn w:val="DefaultParagraphFont"/>
    <w:link w:val="Footer"/>
    <w:uiPriority w:val="99"/>
    <w:semiHidden/>
    <w:locked/>
    <w:rPr>
      <w:sz w:val="24"/>
      <w:szCs w:val="24"/>
      <w:lang w:val="en-US" w:eastAsia="en-US"/>
    </w:rPr>
  </w:style>
  <w:style w:type="paragraph" w:styleId="TOCHeading">
    <w:name w:val="TOC Heading"/>
    <w:basedOn w:val="Heading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CommentReference">
    <w:name w:val="annotation reference"/>
    <w:basedOn w:val="DefaultParagraphFont"/>
    <w:uiPriority w:val="99"/>
    <w:semiHidden/>
    <w:rsid w:val="005B0FE9"/>
    <w:rPr>
      <w:sz w:val="16"/>
      <w:szCs w:val="16"/>
    </w:rPr>
  </w:style>
  <w:style w:type="paragraph" w:styleId="CommentText">
    <w:name w:val="annotation text"/>
    <w:basedOn w:val="Normal"/>
    <w:link w:val="CommentTextChar"/>
    <w:uiPriority w:val="99"/>
    <w:semiHidden/>
    <w:rsid w:val="005B0FE9"/>
    <w:rPr>
      <w:sz w:val="20"/>
      <w:szCs w:val="20"/>
    </w:rPr>
  </w:style>
  <w:style w:type="character" w:customStyle="1" w:styleId="CommentTextChar">
    <w:name w:val="Comment Text Char"/>
    <w:basedOn w:val="DefaultParagraphFont"/>
    <w:link w:val="CommentText"/>
    <w:uiPriority w:val="99"/>
    <w:semiHidden/>
    <w:locked/>
    <w:rPr>
      <w:sz w:val="20"/>
      <w:szCs w:val="20"/>
      <w:lang w:val="en-US" w:eastAsia="en-US"/>
    </w:rPr>
  </w:style>
  <w:style w:type="paragraph" w:styleId="CommentSubject">
    <w:name w:val="annotation subject"/>
    <w:basedOn w:val="CommentText"/>
    <w:next w:val="CommentText"/>
    <w:link w:val="CommentSubjectChar"/>
    <w:uiPriority w:val="99"/>
    <w:semiHidden/>
    <w:rsid w:val="005B0FE9"/>
    <w:rPr>
      <w:b/>
      <w:bCs/>
    </w:rPr>
  </w:style>
  <w:style w:type="character" w:customStyle="1" w:styleId="CommentSubjectChar">
    <w:name w:val="Comment Subject Char"/>
    <w:basedOn w:val="CommentTextChar"/>
    <w:link w:val="CommentSubject"/>
    <w:uiPriority w:val="99"/>
    <w:semiHidden/>
    <w:locked/>
    <w:rPr>
      <w:b/>
      <w:bCs/>
      <w:sz w:val="20"/>
      <w:szCs w:val="20"/>
      <w:lang w:val="en-US" w:eastAsia="en-US"/>
    </w:rPr>
  </w:style>
  <w:style w:type="paragraph" w:styleId="BalloonText">
    <w:name w:val="Balloon Text"/>
    <w:basedOn w:val="Normal"/>
    <w:link w:val="BalloonTextChar"/>
    <w:uiPriority w:val="99"/>
    <w:semiHidden/>
    <w:rsid w:val="005B0FE9"/>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lang w:val="en-US" w:eastAsia="en-US"/>
    </w:rPr>
  </w:style>
  <w:style w:type="paragraph" w:styleId="TOC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TOC9">
    <w:name w:val="toc 9"/>
    <w:basedOn w:val="Normal"/>
    <w:next w:val="Normal"/>
    <w:autoRedefine/>
    <w:uiPriority w:val="99"/>
    <w:semiHidden/>
    <w:rsid w:val="00060EB5"/>
    <w:pPr>
      <w:ind w:left="1920"/>
    </w:pPr>
  </w:style>
  <w:style w:type="paragraph" w:styleId="TOC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TOC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DefaultParagraphFont"/>
    <w:link w:val="OCJENSKIRADOVIOdlomak1PRVIODLOMAK"/>
    <w:uiPriority w:val="99"/>
    <w:locked/>
    <w:rsid w:val="000B3A7B"/>
    <w:rPr>
      <w:sz w:val="24"/>
      <w:szCs w:val="24"/>
      <w:lang w:val="hr-HR"/>
    </w:rPr>
  </w:style>
  <w:style w:type="character" w:styleId="Emphasis">
    <w:name w:val="Emphasis"/>
    <w:basedOn w:val="DefaultParagraphFont"/>
    <w:uiPriority w:val="20"/>
    <w:qFormat/>
    <w:rsid w:val="00F31D08"/>
    <w:rPr>
      <w:i/>
      <w:iCs/>
    </w:rPr>
  </w:style>
  <w:style w:type="character" w:styleId="Strong">
    <w:name w:val="Strong"/>
    <w:basedOn w:val="DefaultParagraphFont"/>
    <w:uiPriority w:val="22"/>
    <w:qFormat/>
    <w:rsid w:val="000A025F"/>
    <w:rPr>
      <w:b/>
      <w:bCs/>
    </w:rPr>
  </w:style>
  <w:style w:type="paragraph" w:styleId="ListParagraph">
    <w:name w:val="List Paragraph"/>
    <w:basedOn w:val="Normal"/>
    <w:uiPriority w:val="99"/>
    <w:qFormat/>
    <w:rsid w:val="000B5D0E"/>
    <w:pPr>
      <w:ind w:left="720"/>
    </w:pPr>
  </w:style>
  <w:style w:type="numbering" w:customStyle="1" w:styleId="CurrentList1">
    <w:name w:val="Current List1"/>
    <w:rsid w:val="00ED052C"/>
    <w:pPr>
      <w:numPr>
        <w:numId w:val="22"/>
      </w:numPr>
    </w:pPr>
  </w:style>
  <w:style w:type="paragraph" w:styleId="Revision">
    <w:name w:val="Revision"/>
    <w:hidden/>
    <w:uiPriority w:val="99"/>
    <w:semiHidden/>
    <w:rsid w:val="00EF2376"/>
    <w:rPr>
      <w:sz w:val="24"/>
      <w:szCs w:val="24"/>
      <w:lang w:val="en-US" w:eastAsia="en-US"/>
    </w:rPr>
  </w:style>
  <w:style w:type="character" w:styleId="FollowedHyperlink">
    <w:name w:val="FollowedHyperlink"/>
    <w:basedOn w:val="DefaultParagraphFont"/>
    <w:uiPriority w:val="99"/>
    <w:semiHidden/>
    <w:unhideWhenUsed/>
    <w:rsid w:val="00B62C42"/>
    <w:rPr>
      <w:color w:val="800080" w:themeColor="followedHyperlink"/>
      <w:u w:val="single"/>
    </w:rPr>
  </w:style>
  <w:style w:type="paragraph" w:customStyle="1" w:styleId="Calibri">
    <w:name w:val="Calibri"/>
    <w:basedOn w:val="Normal"/>
    <w:qFormat/>
    <w:rsid w:val="007A2370"/>
    <w:pPr>
      <w:jc w:val="center"/>
    </w:pPr>
    <w:rPr>
      <w:rFonts w:ascii="Calibri" w:hAnsi="Calibri"/>
      <w:lang w:val="hr-HR"/>
    </w:rPr>
  </w:style>
  <w:style w:type="paragraph" w:styleId="NormalWeb">
    <w:name w:val="Normal (Web)"/>
    <w:basedOn w:val="Normal"/>
    <w:uiPriority w:val="99"/>
    <w:unhideWhenUsed/>
    <w:rsid w:val="00DD53C7"/>
    <w:pPr>
      <w:spacing w:before="100" w:beforeAutospacing="1" w:after="100" w:afterAutospacing="1"/>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00333">
      <w:bodyDiv w:val="1"/>
      <w:marLeft w:val="0"/>
      <w:marRight w:val="0"/>
      <w:marTop w:val="0"/>
      <w:marBottom w:val="0"/>
      <w:divBdr>
        <w:top w:val="none" w:sz="0" w:space="0" w:color="auto"/>
        <w:left w:val="none" w:sz="0" w:space="0" w:color="auto"/>
        <w:bottom w:val="none" w:sz="0" w:space="0" w:color="auto"/>
        <w:right w:val="none" w:sz="0" w:space="0" w:color="auto"/>
      </w:divBdr>
    </w:div>
    <w:div w:id="277293912">
      <w:bodyDiv w:val="1"/>
      <w:marLeft w:val="0"/>
      <w:marRight w:val="0"/>
      <w:marTop w:val="0"/>
      <w:marBottom w:val="0"/>
      <w:divBdr>
        <w:top w:val="none" w:sz="0" w:space="0" w:color="auto"/>
        <w:left w:val="none" w:sz="0" w:space="0" w:color="auto"/>
        <w:bottom w:val="none" w:sz="0" w:space="0" w:color="auto"/>
        <w:right w:val="none" w:sz="0" w:space="0" w:color="auto"/>
      </w:divBdr>
    </w:div>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494954734">
      <w:bodyDiv w:val="1"/>
      <w:marLeft w:val="0"/>
      <w:marRight w:val="0"/>
      <w:marTop w:val="0"/>
      <w:marBottom w:val="0"/>
      <w:divBdr>
        <w:top w:val="none" w:sz="0" w:space="0" w:color="auto"/>
        <w:left w:val="none" w:sz="0" w:space="0" w:color="auto"/>
        <w:bottom w:val="none" w:sz="0" w:space="0" w:color="auto"/>
        <w:right w:val="none" w:sz="0" w:space="0" w:color="auto"/>
      </w:divBdr>
    </w:div>
    <w:div w:id="823661006">
      <w:bodyDiv w:val="1"/>
      <w:marLeft w:val="0"/>
      <w:marRight w:val="0"/>
      <w:marTop w:val="0"/>
      <w:marBottom w:val="0"/>
      <w:divBdr>
        <w:top w:val="none" w:sz="0" w:space="0" w:color="auto"/>
        <w:left w:val="none" w:sz="0" w:space="0" w:color="auto"/>
        <w:bottom w:val="none" w:sz="0" w:space="0" w:color="auto"/>
        <w:right w:val="none" w:sz="0" w:space="0" w:color="auto"/>
      </w:divBdr>
    </w:div>
    <w:div w:id="898326007">
      <w:bodyDiv w:val="1"/>
      <w:marLeft w:val="0"/>
      <w:marRight w:val="0"/>
      <w:marTop w:val="0"/>
      <w:marBottom w:val="0"/>
      <w:divBdr>
        <w:top w:val="none" w:sz="0" w:space="0" w:color="auto"/>
        <w:left w:val="none" w:sz="0" w:space="0" w:color="auto"/>
        <w:bottom w:val="none" w:sz="0" w:space="0" w:color="auto"/>
        <w:right w:val="none" w:sz="0" w:space="0" w:color="auto"/>
      </w:divBdr>
    </w:div>
    <w:div w:id="934559052">
      <w:bodyDiv w:val="1"/>
      <w:marLeft w:val="0"/>
      <w:marRight w:val="0"/>
      <w:marTop w:val="0"/>
      <w:marBottom w:val="0"/>
      <w:divBdr>
        <w:top w:val="none" w:sz="0" w:space="0" w:color="auto"/>
        <w:left w:val="none" w:sz="0" w:space="0" w:color="auto"/>
        <w:bottom w:val="none" w:sz="0" w:space="0" w:color="auto"/>
        <w:right w:val="none" w:sz="0" w:space="0" w:color="auto"/>
      </w:divBdr>
    </w:div>
    <w:div w:id="1109473789">
      <w:bodyDiv w:val="1"/>
      <w:marLeft w:val="0"/>
      <w:marRight w:val="0"/>
      <w:marTop w:val="0"/>
      <w:marBottom w:val="0"/>
      <w:divBdr>
        <w:top w:val="none" w:sz="0" w:space="0" w:color="auto"/>
        <w:left w:val="none" w:sz="0" w:space="0" w:color="auto"/>
        <w:bottom w:val="none" w:sz="0" w:space="0" w:color="auto"/>
        <w:right w:val="none" w:sz="0" w:space="0" w:color="auto"/>
      </w:divBdr>
    </w:div>
    <w:div w:id="1234897587">
      <w:bodyDiv w:val="1"/>
      <w:marLeft w:val="0"/>
      <w:marRight w:val="0"/>
      <w:marTop w:val="0"/>
      <w:marBottom w:val="0"/>
      <w:divBdr>
        <w:top w:val="none" w:sz="0" w:space="0" w:color="auto"/>
        <w:left w:val="none" w:sz="0" w:space="0" w:color="auto"/>
        <w:bottom w:val="none" w:sz="0" w:space="0" w:color="auto"/>
        <w:right w:val="none" w:sz="0" w:space="0" w:color="auto"/>
      </w:divBdr>
    </w:div>
    <w:div w:id="1278100086">
      <w:bodyDiv w:val="1"/>
      <w:marLeft w:val="0"/>
      <w:marRight w:val="0"/>
      <w:marTop w:val="0"/>
      <w:marBottom w:val="0"/>
      <w:divBdr>
        <w:top w:val="none" w:sz="0" w:space="0" w:color="auto"/>
        <w:left w:val="none" w:sz="0" w:space="0" w:color="auto"/>
        <w:bottom w:val="none" w:sz="0" w:space="0" w:color="auto"/>
        <w:right w:val="none" w:sz="0" w:space="0" w:color="auto"/>
      </w:divBdr>
    </w:div>
    <w:div w:id="1332179237">
      <w:bodyDiv w:val="1"/>
      <w:marLeft w:val="0"/>
      <w:marRight w:val="0"/>
      <w:marTop w:val="0"/>
      <w:marBottom w:val="0"/>
      <w:divBdr>
        <w:top w:val="none" w:sz="0" w:space="0" w:color="auto"/>
        <w:left w:val="none" w:sz="0" w:space="0" w:color="auto"/>
        <w:bottom w:val="none" w:sz="0" w:space="0" w:color="auto"/>
        <w:right w:val="none" w:sz="0" w:space="0" w:color="auto"/>
      </w:divBdr>
    </w:div>
    <w:div w:id="1501433739">
      <w:bodyDiv w:val="1"/>
      <w:marLeft w:val="0"/>
      <w:marRight w:val="0"/>
      <w:marTop w:val="0"/>
      <w:marBottom w:val="0"/>
      <w:divBdr>
        <w:top w:val="none" w:sz="0" w:space="0" w:color="auto"/>
        <w:left w:val="none" w:sz="0" w:space="0" w:color="auto"/>
        <w:bottom w:val="none" w:sz="0" w:space="0" w:color="auto"/>
        <w:right w:val="none" w:sz="0" w:space="0" w:color="auto"/>
      </w:divBdr>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A0C53CF7234745B79A5D3459445FC4" ma:contentTypeVersion="7" ma:contentTypeDescription="Create a new document." ma:contentTypeScope="" ma:versionID="ac7f42c9fb027228b0a713dc95cc9880">
  <xsd:schema xmlns:xsd="http://www.w3.org/2001/XMLSchema" xmlns:xs="http://www.w3.org/2001/XMLSchema" xmlns:p="http://schemas.microsoft.com/office/2006/metadata/properties" xmlns:ns2="cde6072c-b800-4bc3-8e05-5b0a8d347fb2" targetNamespace="http://schemas.microsoft.com/office/2006/metadata/properties" ma:root="true" ma:fieldsID="96bbc03d832bf8c2430689d3e00a2c69" ns2:_="">
    <xsd:import namespace="cde6072c-b800-4bc3-8e05-5b0a8d347f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6072c-b800-4bc3-8e05-5b0a8d347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A4129-C5DA-44F2-86F5-59B753F1A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6072c-b800-4bc3-8e05-5b0a8d347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EF6479-1EE1-4978-8852-9F51C32E058E}">
  <ds:schemaRefs>
    <ds:schemaRef ds:uri="http://schemas.microsoft.com/sharepoint/v3/contenttype/forms"/>
  </ds:schemaRefs>
</ds:datastoreItem>
</file>

<file path=customXml/itemProps3.xml><?xml version="1.0" encoding="utf-8"?>
<ds:datastoreItem xmlns:ds="http://schemas.openxmlformats.org/officeDocument/2006/customXml" ds:itemID="{DD11C5D4-3DD3-4200-A983-5F529D3AC5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C1CC8D-2972-45D9-902D-7B10A734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18</Pages>
  <Words>17298</Words>
  <Characters>98604</Characters>
  <Application>Microsoft Office Word</Application>
  <DocSecurity>0</DocSecurity>
  <Lines>821</Lines>
  <Paragraphs>231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115671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creator>a</dc:creator>
  <cp:lastModifiedBy>LidijaMarija</cp:lastModifiedBy>
  <cp:revision>4</cp:revision>
  <cp:lastPrinted>2013-08-28T10:43:00Z</cp:lastPrinted>
  <dcterms:created xsi:type="dcterms:W3CDTF">2026-03-24T12:42:00Z</dcterms:created>
  <dcterms:modified xsi:type="dcterms:W3CDTF">2026-03-26T11:42:00Z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y fmtid="{D5CDD505-2E9C-101B-9397-08002B2CF9AE}" pid="10" name="ContentTypeId">
    <vt:lpwstr>0x01010078A0C53CF7234745B79A5D3459445FC4</vt:lpwstr>
  </property>
  <property fmtid="{D5CDD505-2E9C-101B-9397-08002B2CF9AE}" pid="11" name="Mendeley Recent Style Id 0_1">
    <vt:lpwstr>http://www.zotero.org/styles/american-medical-association</vt:lpwstr>
  </property>
  <property fmtid="{D5CDD505-2E9C-101B-9397-08002B2CF9AE}" pid="12" name="Mendeley Recent Style Name 0_1">
    <vt:lpwstr>AMA Manual of Style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APSA Style Manual revised 2018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ASA Style Guide 6th/7th edition</vt:lpwstr>
  </property>
  <property fmtid="{D5CDD505-2E9C-101B-9397-08002B2CF9AE}" pid="17" name="Mendeley Recent Style Id 3_1">
    <vt:lpwstr>http://www.zotero.org/styles/apa</vt:lpwstr>
  </property>
  <property fmtid="{D5CDD505-2E9C-101B-9397-08002B2CF9AE}" pid="18" name="Mendeley Recent Style Name 3_1">
    <vt:lpwstr>American Psychological Association 7th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18th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12th edition (author-date/Harvard)</vt:lpwstr>
  </property>
  <property fmtid="{D5CDD505-2E9C-101B-9397-08002B2CF9AE}" pid="23" name="Mendeley Recent Style Id 6_1">
    <vt:lpwstr>https://csl.mendeley.com/styles/561676661/Doktorat-PMF</vt:lpwstr>
  </property>
  <property fmtid="{D5CDD505-2E9C-101B-9397-08002B2CF9AE}" pid="24" name="Mendeley Recent Style Name 6_1">
    <vt:lpwstr>Doktorat </vt:lpwstr>
  </property>
  <property fmtid="{D5CDD505-2E9C-101B-9397-08002B2CF9AE}" pid="25" name="Mendeley Recent Style Id 7_1">
    <vt:lpwstr>http://www.zotero.org/styles/ieee</vt:lpwstr>
  </property>
  <property fmtid="{D5CDD505-2E9C-101B-9397-08002B2CF9AE}" pid="26" name="Mendeley Recent Style Name 7_1">
    <vt:lpwstr>IEEE Reference Guide version 11.29.2023</vt:lpwstr>
  </property>
  <property fmtid="{D5CDD505-2E9C-101B-9397-08002B2CF9AE}" pid="27" name="Mendeley Recent Style Id 8_1">
    <vt:lpwstr>http://www.zotero.org/styles/modern-language-association</vt:lpwstr>
  </property>
  <property fmtid="{D5CDD505-2E9C-101B-9397-08002B2CF9AE}" pid="28" name="Mendeley Recent Style Name 8_1">
    <vt:lpwstr>MLA Handbook 9th edition (in-text citations)</vt:lpwstr>
  </property>
  <property fmtid="{D5CDD505-2E9C-101B-9397-08002B2CF9AE}" pid="29" name="Mendeley Recent Style Id 9_1">
    <vt:lpwstr>http://www.zotero.org/styles/modern-humanities-research-association</vt:lpwstr>
  </property>
  <property fmtid="{D5CDD505-2E9C-101B-9397-08002B2CF9AE}" pid="30" name="Mendeley Recent Style Name 9_1">
    <vt:lpwstr>Modern Humanities Research Association 3rd edition (note with bibliography)</vt:lpwstr>
  </property>
  <property fmtid="{D5CDD505-2E9C-101B-9397-08002B2CF9AE}" pid="31" name="Mendeley Document_1">
    <vt:lpwstr>True</vt:lpwstr>
  </property>
  <property fmtid="{D5CDD505-2E9C-101B-9397-08002B2CF9AE}" pid="32" name="Mendeley Unique User Id_1">
    <vt:lpwstr>7ba33680-fba2-3910-a40a-1c1a63ebdf23</vt:lpwstr>
  </property>
  <property fmtid="{D5CDD505-2E9C-101B-9397-08002B2CF9AE}" pid="33" name="Mendeley Citation Style_1">
    <vt:lpwstr>https://csl.mendeley.com/styles/561676661/Doktorat-PMF</vt:lpwstr>
  </property>
</Properties>
</file>