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D4715" w14:textId="77777777" w:rsidR="00940D56" w:rsidRPr="00BB33A1" w:rsidRDefault="00940D56" w:rsidP="00940D56">
      <w:pPr>
        <w:jc w:val="center"/>
        <w:rPr>
          <w:rFonts w:ascii="Arial Narrow" w:hAnsi="Arial Narrow" w:cs="Arial"/>
          <w:lang w:val="hr-HR"/>
        </w:rPr>
      </w:pPr>
      <w:r w:rsidRPr="00BB33A1">
        <w:rPr>
          <w:rFonts w:ascii="Arial Narrow" w:hAnsi="Arial Narrow" w:cs="Arial"/>
          <w:noProof/>
          <w:lang w:val="hr-HR"/>
        </w:rPr>
        <w:drawing>
          <wp:inline distT="0" distB="0" distL="0" distR="0" wp14:anchorId="656295F8" wp14:editId="12204096">
            <wp:extent cx="2393950" cy="1507490"/>
            <wp:effectExtent l="0" t="0" r="6350" b="0"/>
            <wp:docPr id="2" name="Picture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3950" cy="1507490"/>
                    </a:xfrm>
                    <a:prstGeom prst="rect">
                      <a:avLst/>
                    </a:prstGeom>
                    <a:noFill/>
                    <a:ln>
                      <a:noFill/>
                    </a:ln>
                  </pic:spPr>
                </pic:pic>
              </a:graphicData>
            </a:graphic>
          </wp:inline>
        </w:drawing>
      </w:r>
    </w:p>
    <w:p w14:paraId="485CA4EE" w14:textId="77777777" w:rsidR="00940D56" w:rsidRPr="00BB33A1" w:rsidRDefault="00940D56" w:rsidP="00940D56">
      <w:pPr>
        <w:jc w:val="center"/>
        <w:rPr>
          <w:sz w:val="32"/>
          <w:szCs w:val="32"/>
          <w:lang w:val="hr-HR"/>
        </w:rPr>
      </w:pPr>
      <w:r w:rsidRPr="00BB33A1">
        <w:rPr>
          <w:sz w:val="32"/>
          <w:szCs w:val="32"/>
          <w:lang w:val="hr-HR"/>
        </w:rPr>
        <w:t>PRIRODOSLOVNO-MATEMATIČKI FAKULTET</w:t>
      </w:r>
    </w:p>
    <w:p w14:paraId="2530100F" w14:textId="77777777" w:rsidR="00940D56" w:rsidRPr="00BB33A1" w:rsidRDefault="00940D56" w:rsidP="00940D56">
      <w:pPr>
        <w:jc w:val="center"/>
        <w:rPr>
          <w:sz w:val="28"/>
          <w:szCs w:val="28"/>
          <w:lang w:val="hr-HR"/>
        </w:rPr>
      </w:pPr>
      <w:r w:rsidRPr="00BB33A1">
        <w:rPr>
          <w:sz w:val="32"/>
          <w:szCs w:val="32"/>
          <w:lang w:val="hr-HR"/>
        </w:rPr>
        <w:t>Kemijski odsjek</w:t>
      </w:r>
    </w:p>
    <w:p w14:paraId="4AB9FA5C" w14:textId="77777777" w:rsidR="00940D56" w:rsidRPr="00BB33A1" w:rsidRDefault="00940D56" w:rsidP="00940D56">
      <w:pPr>
        <w:jc w:val="center"/>
        <w:rPr>
          <w:sz w:val="32"/>
          <w:szCs w:val="32"/>
          <w:lang w:val="hr-HR"/>
        </w:rPr>
      </w:pPr>
    </w:p>
    <w:p w14:paraId="560E0F9C" w14:textId="77777777" w:rsidR="00195AED" w:rsidRPr="00BB33A1" w:rsidRDefault="00195AED" w:rsidP="00940D56">
      <w:pPr>
        <w:rPr>
          <w:sz w:val="32"/>
          <w:szCs w:val="32"/>
          <w:lang w:val="hr-HR"/>
        </w:rPr>
      </w:pPr>
    </w:p>
    <w:p w14:paraId="168D55D4" w14:textId="77777777" w:rsidR="00195AED" w:rsidRPr="00BB33A1" w:rsidRDefault="00195AED" w:rsidP="00940D56">
      <w:pPr>
        <w:rPr>
          <w:sz w:val="32"/>
          <w:szCs w:val="32"/>
          <w:lang w:val="hr-HR"/>
        </w:rPr>
      </w:pPr>
    </w:p>
    <w:p w14:paraId="4722657B" w14:textId="77777777" w:rsidR="00195AED" w:rsidRPr="00BB33A1" w:rsidRDefault="00195AED" w:rsidP="00195AED">
      <w:pPr>
        <w:jc w:val="center"/>
        <w:rPr>
          <w:sz w:val="32"/>
          <w:szCs w:val="32"/>
          <w:lang w:val="hr-HR"/>
        </w:rPr>
      </w:pPr>
    </w:p>
    <w:p w14:paraId="5D10A2C3" w14:textId="2FF3A57A" w:rsidR="00195AED" w:rsidRPr="00BB33A1" w:rsidRDefault="00C44D87" w:rsidP="00195AED">
      <w:pPr>
        <w:jc w:val="center"/>
        <w:rPr>
          <w:sz w:val="32"/>
          <w:szCs w:val="32"/>
          <w:lang w:val="hr-HR"/>
        </w:rPr>
      </w:pPr>
      <w:r w:rsidRPr="00BB33A1">
        <w:rPr>
          <w:sz w:val="32"/>
          <w:szCs w:val="32"/>
          <w:lang w:val="hr-HR"/>
        </w:rPr>
        <w:t>Franjo Sakoman</w:t>
      </w:r>
    </w:p>
    <w:p w14:paraId="18703625" w14:textId="77777777" w:rsidR="008432B8" w:rsidRPr="00BB33A1" w:rsidRDefault="008432B8" w:rsidP="008432B8">
      <w:pPr>
        <w:rPr>
          <w:sz w:val="32"/>
          <w:szCs w:val="32"/>
          <w:lang w:val="hr-HR"/>
        </w:rPr>
      </w:pPr>
    </w:p>
    <w:p w14:paraId="439B6B29" w14:textId="0C8431EC" w:rsidR="008432B8" w:rsidRPr="00BB33A1" w:rsidRDefault="008432B8" w:rsidP="00195AED">
      <w:pPr>
        <w:jc w:val="center"/>
        <w:rPr>
          <w:lang w:val="hr-HR"/>
        </w:rPr>
      </w:pPr>
      <w:r w:rsidRPr="00BB33A1">
        <w:rPr>
          <w:lang w:val="hr-HR"/>
        </w:rPr>
        <w:t>Student 1. godine poslijediplomskog sveučilišnog studija KEMIJA</w:t>
      </w:r>
    </w:p>
    <w:p w14:paraId="6240F598" w14:textId="0026D04E" w:rsidR="00195AED" w:rsidRPr="00BB33A1" w:rsidRDefault="00195AED" w:rsidP="00195AED">
      <w:pPr>
        <w:rPr>
          <w:rFonts w:ascii="Arial Narrow" w:hAnsi="Arial Narrow" w:cs="Arial Narrow"/>
          <w:sz w:val="32"/>
          <w:szCs w:val="32"/>
          <w:lang w:val="hr-HR"/>
        </w:rPr>
      </w:pPr>
    </w:p>
    <w:p w14:paraId="2818107B" w14:textId="77777777" w:rsidR="00195AED" w:rsidRPr="00BB33A1" w:rsidRDefault="00195AED" w:rsidP="00940D56">
      <w:pPr>
        <w:rPr>
          <w:rFonts w:ascii="Arial Narrow" w:hAnsi="Arial Narrow" w:cs="Arial Narrow"/>
          <w:sz w:val="32"/>
          <w:szCs w:val="32"/>
          <w:lang w:val="hr-HR"/>
        </w:rPr>
      </w:pPr>
    </w:p>
    <w:p w14:paraId="3E3D1321" w14:textId="77777777" w:rsidR="00195AED" w:rsidRPr="00BB33A1" w:rsidRDefault="00195AED" w:rsidP="00195AED">
      <w:pPr>
        <w:jc w:val="center"/>
        <w:rPr>
          <w:rFonts w:ascii="Arial Narrow" w:hAnsi="Arial Narrow" w:cs="Arial Narrow"/>
          <w:sz w:val="32"/>
          <w:szCs w:val="32"/>
          <w:lang w:val="hr-HR"/>
        </w:rPr>
      </w:pPr>
    </w:p>
    <w:p w14:paraId="4813A7AA" w14:textId="48E0D6EE" w:rsidR="00195AED" w:rsidRPr="00BB33A1" w:rsidRDefault="000A05F7" w:rsidP="000A05F7">
      <w:pPr>
        <w:spacing w:line="276" w:lineRule="auto"/>
        <w:jc w:val="center"/>
        <w:rPr>
          <w:b/>
          <w:bCs/>
          <w:sz w:val="44"/>
          <w:szCs w:val="44"/>
          <w:lang w:val="hr-HR"/>
        </w:rPr>
      </w:pPr>
      <w:r w:rsidRPr="00BB33A1">
        <w:rPr>
          <w:b/>
          <w:bCs/>
          <w:sz w:val="44"/>
          <w:szCs w:val="44"/>
          <w:lang w:val="hr-HR"/>
        </w:rPr>
        <w:t>Primjena spektroskopije nuklearne magnetske rezonancije u čvrstom stanju za analizu ciklodekstrinskih sustava</w:t>
      </w:r>
    </w:p>
    <w:p w14:paraId="5982D79E" w14:textId="77777777" w:rsidR="00195AED" w:rsidRPr="00BB33A1" w:rsidRDefault="00195AED" w:rsidP="00940D56">
      <w:pPr>
        <w:spacing w:line="276" w:lineRule="auto"/>
        <w:rPr>
          <w:sz w:val="32"/>
          <w:szCs w:val="32"/>
          <w:lang w:val="hr-HR"/>
        </w:rPr>
      </w:pPr>
    </w:p>
    <w:p w14:paraId="0B96AB88" w14:textId="77777777" w:rsidR="00195AED" w:rsidRPr="00BB33A1" w:rsidRDefault="00195AED" w:rsidP="00195AED">
      <w:pPr>
        <w:spacing w:line="276" w:lineRule="auto"/>
        <w:jc w:val="center"/>
        <w:rPr>
          <w:sz w:val="32"/>
          <w:szCs w:val="32"/>
          <w:lang w:val="hr-HR"/>
        </w:rPr>
      </w:pPr>
    </w:p>
    <w:p w14:paraId="2E3F3FCC" w14:textId="77777777" w:rsidR="00195AED" w:rsidRPr="00BB33A1" w:rsidRDefault="00195AED" w:rsidP="00195AED">
      <w:pPr>
        <w:jc w:val="center"/>
        <w:rPr>
          <w:sz w:val="32"/>
          <w:szCs w:val="32"/>
          <w:lang w:val="hr-HR"/>
        </w:rPr>
      </w:pPr>
    </w:p>
    <w:p w14:paraId="4B7F4236" w14:textId="12210FC8" w:rsidR="00195AED" w:rsidRPr="00BB33A1" w:rsidRDefault="00C44D87" w:rsidP="00195AED">
      <w:pPr>
        <w:spacing w:after="120" w:line="360" w:lineRule="auto"/>
        <w:jc w:val="center"/>
        <w:rPr>
          <w:b/>
          <w:sz w:val="28"/>
          <w:szCs w:val="28"/>
          <w:lang w:val="hr-HR"/>
        </w:rPr>
      </w:pPr>
      <w:r w:rsidRPr="00BB33A1">
        <w:rPr>
          <w:b/>
          <w:sz w:val="28"/>
          <w:szCs w:val="28"/>
          <w:lang w:val="hr-HR"/>
        </w:rPr>
        <w:t xml:space="preserve">Kemijski seminar </w:t>
      </w:r>
      <w:r w:rsidR="00873D4A" w:rsidRPr="00BB33A1">
        <w:rPr>
          <w:b/>
          <w:sz w:val="28"/>
          <w:szCs w:val="28"/>
          <w:lang w:val="hr-HR"/>
        </w:rPr>
        <w:t>Ⅰ</w:t>
      </w:r>
    </w:p>
    <w:p w14:paraId="059D9F42" w14:textId="77777777" w:rsidR="00195AED" w:rsidRPr="00BB33A1" w:rsidRDefault="00195AED" w:rsidP="00195AED">
      <w:pPr>
        <w:spacing w:line="360" w:lineRule="auto"/>
        <w:jc w:val="center"/>
        <w:rPr>
          <w:lang w:val="hr-HR"/>
        </w:rPr>
      </w:pPr>
    </w:p>
    <w:p w14:paraId="49592D08" w14:textId="19E80E69" w:rsidR="00C44D87" w:rsidRPr="00BB33A1" w:rsidRDefault="00C44D87" w:rsidP="00195AED">
      <w:pPr>
        <w:spacing w:line="360" w:lineRule="auto"/>
        <w:jc w:val="center"/>
        <w:rPr>
          <w:sz w:val="28"/>
          <w:szCs w:val="28"/>
          <w:lang w:val="hr-HR"/>
        </w:rPr>
      </w:pPr>
      <w:r w:rsidRPr="00BB33A1">
        <w:rPr>
          <w:lang w:val="hr-HR"/>
        </w:rPr>
        <w:t>Zavod za analitičku kemiju</w:t>
      </w:r>
    </w:p>
    <w:p w14:paraId="0AF35BF4" w14:textId="77777777" w:rsidR="00195AED" w:rsidRPr="00BB33A1" w:rsidRDefault="00195AED" w:rsidP="00195AED">
      <w:pPr>
        <w:jc w:val="center"/>
        <w:rPr>
          <w:sz w:val="32"/>
          <w:szCs w:val="32"/>
          <w:lang w:val="hr-HR"/>
        </w:rPr>
      </w:pPr>
    </w:p>
    <w:p w14:paraId="119C5ED4" w14:textId="43FD6960" w:rsidR="00251AA4" w:rsidRPr="00BB33A1" w:rsidRDefault="00251AA4" w:rsidP="00E8177C">
      <w:pPr>
        <w:jc w:val="center"/>
        <w:rPr>
          <w:lang w:val="hr-HR"/>
        </w:rPr>
      </w:pPr>
      <w:r w:rsidRPr="00BB33A1">
        <w:rPr>
          <w:lang w:val="hr-HR"/>
        </w:rPr>
        <w:t xml:space="preserve">Prema radu: </w:t>
      </w:r>
      <w:bookmarkStart w:id="0" w:name="_Hlk192415678"/>
      <w:r w:rsidR="00E8177C" w:rsidRPr="00BB33A1">
        <w:rPr>
          <w:lang w:val="hr-HR"/>
        </w:rPr>
        <w:t xml:space="preserve">A. H. Mazurek, Ł. Szeleszczuk, </w:t>
      </w:r>
      <w:r w:rsidR="00E8177C" w:rsidRPr="00BB33A1">
        <w:rPr>
          <w:i/>
          <w:iCs/>
          <w:lang w:val="hr-HR"/>
        </w:rPr>
        <w:t>Int. J. Mol. Sci.</w:t>
      </w:r>
      <w:r w:rsidR="00E8177C" w:rsidRPr="00BB33A1">
        <w:rPr>
          <w:lang w:val="hr-HR"/>
        </w:rPr>
        <w:t xml:space="preserve"> </w:t>
      </w:r>
      <w:r w:rsidR="00E8177C" w:rsidRPr="00BB33A1">
        <w:rPr>
          <w:b/>
          <w:bCs/>
          <w:lang w:val="hr-HR"/>
        </w:rPr>
        <w:t xml:space="preserve">24 </w:t>
      </w:r>
      <w:r w:rsidR="00E8177C" w:rsidRPr="00BB33A1">
        <w:rPr>
          <w:lang w:val="hr-HR"/>
        </w:rPr>
        <w:t>(2023) 1–21.</w:t>
      </w:r>
    </w:p>
    <w:bookmarkEnd w:id="0"/>
    <w:p w14:paraId="6B2AE3EB" w14:textId="77777777" w:rsidR="00195AED" w:rsidRPr="00BB33A1" w:rsidRDefault="00195AED" w:rsidP="00940D56">
      <w:pPr>
        <w:rPr>
          <w:sz w:val="32"/>
          <w:szCs w:val="32"/>
          <w:lang w:val="hr-HR"/>
        </w:rPr>
      </w:pPr>
    </w:p>
    <w:p w14:paraId="6776A6C7" w14:textId="77777777" w:rsidR="00195AED" w:rsidRPr="00BB33A1" w:rsidRDefault="00195AED" w:rsidP="00195AED">
      <w:pPr>
        <w:jc w:val="center"/>
        <w:rPr>
          <w:sz w:val="32"/>
          <w:szCs w:val="32"/>
          <w:lang w:val="hr-HR"/>
        </w:rPr>
      </w:pPr>
    </w:p>
    <w:p w14:paraId="4DE91C99" w14:textId="77777777" w:rsidR="00195AED" w:rsidRPr="00BB33A1" w:rsidRDefault="00195AED" w:rsidP="00195AED">
      <w:pPr>
        <w:jc w:val="center"/>
        <w:rPr>
          <w:rFonts w:ascii="Arial Narrow" w:hAnsi="Arial Narrow" w:cs="Arial Narrow"/>
          <w:sz w:val="32"/>
          <w:szCs w:val="32"/>
          <w:lang w:val="hr-HR"/>
        </w:rPr>
      </w:pPr>
    </w:p>
    <w:p w14:paraId="19CE201E" w14:textId="381B8097" w:rsidR="00424536" w:rsidRPr="00BB33A1" w:rsidRDefault="00195AED" w:rsidP="00715B8A">
      <w:pPr>
        <w:jc w:val="center"/>
        <w:rPr>
          <w:lang w:val="hr-HR"/>
        </w:rPr>
        <w:sectPr w:rsidR="00424536" w:rsidRPr="00BB33A1" w:rsidSect="00CF6BB4">
          <w:pgSz w:w="11907" w:h="16840" w:code="9"/>
          <w:pgMar w:top="1701" w:right="1418" w:bottom="1701" w:left="1418" w:header="1134" w:footer="1134" w:gutter="0"/>
          <w:pgNumType w:fmt="lowerRoman"/>
          <w:cols w:space="708"/>
          <w:docGrid w:linePitch="360"/>
        </w:sectPr>
      </w:pPr>
      <w:r w:rsidRPr="00BB33A1">
        <w:rPr>
          <w:sz w:val="28"/>
          <w:szCs w:val="28"/>
          <w:lang w:val="hr-HR"/>
        </w:rPr>
        <w:t xml:space="preserve">Zagreb, </w:t>
      </w:r>
      <w:r w:rsidR="00C44D87" w:rsidRPr="00BB33A1">
        <w:rPr>
          <w:sz w:val="28"/>
          <w:szCs w:val="28"/>
          <w:lang w:val="hr-HR"/>
        </w:rPr>
        <w:t>2025</w:t>
      </w:r>
      <w:r w:rsidR="001202C3" w:rsidRPr="00BB33A1">
        <w:rPr>
          <w:sz w:val="28"/>
          <w:szCs w:val="28"/>
          <w:lang w:val="hr-HR"/>
        </w:rPr>
        <w:t>.</w:t>
      </w:r>
    </w:p>
    <w:sdt>
      <w:sdtPr>
        <w:rPr>
          <w:rFonts w:ascii="Times New Roman" w:hAnsi="Times New Roman" w:cs="Times New Roman"/>
          <w:b w:val="0"/>
          <w:bCs w:val="0"/>
          <w:color w:val="auto"/>
          <w:sz w:val="24"/>
          <w:szCs w:val="24"/>
          <w:lang w:val="hr-HR"/>
        </w:rPr>
        <w:id w:val="-823275896"/>
        <w:docPartObj>
          <w:docPartGallery w:val="Table of Contents"/>
          <w:docPartUnique/>
        </w:docPartObj>
      </w:sdtPr>
      <w:sdtContent>
        <w:p w14:paraId="3109ABED" w14:textId="1D735D34" w:rsidR="00171E1F" w:rsidRPr="00BB33A1" w:rsidRDefault="00171E1F">
          <w:pPr>
            <w:pStyle w:val="TOCNaslov"/>
            <w:rPr>
              <w:color w:val="003399"/>
              <w:sz w:val="36"/>
              <w:szCs w:val="36"/>
              <w:lang w:val="hr-HR"/>
            </w:rPr>
          </w:pPr>
          <w:r w:rsidRPr="00BB33A1">
            <w:rPr>
              <w:color w:val="003399"/>
              <w:sz w:val="36"/>
              <w:szCs w:val="36"/>
              <w:lang w:val="hr-HR"/>
            </w:rPr>
            <w:t>Sadržaj</w:t>
          </w:r>
        </w:p>
        <w:p w14:paraId="6DCB44F7" w14:textId="77777777" w:rsidR="00171E1F" w:rsidRPr="00BB33A1" w:rsidRDefault="00171E1F" w:rsidP="00171E1F">
          <w:pPr>
            <w:rPr>
              <w:lang w:val="hr-HR"/>
            </w:rPr>
          </w:pPr>
        </w:p>
        <w:p w14:paraId="79103B4F" w14:textId="120ADC52" w:rsidR="00DE57CD" w:rsidRDefault="00171E1F">
          <w:pPr>
            <w:pStyle w:val="Sadraj1"/>
            <w:rPr>
              <w:rFonts w:asciiTheme="minorHAnsi" w:eastAsiaTheme="minorEastAsia" w:hAnsiTheme="minorHAnsi" w:cstheme="minorBidi"/>
              <w:b w:val="0"/>
              <w:bCs w:val="0"/>
              <w:caps w:val="0"/>
              <w:color w:val="auto"/>
              <w:kern w:val="2"/>
              <w:lang w:val="en-GB" w:eastAsia="en-GB"/>
              <w14:ligatures w14:val="standardContextual"/>
            </w:rPr>
          </w:pPr>
          <w:r w:rsidRPr="00BB33A1">
            <w:rPr>
              <w:noProof w:val="0"/>
              <w:lang w:val="hr-HR"/>
            </w:rPr>
            <w:fldChar w:fldCharType="begin"/>
          </w:r>
          <w:r w:rsidRPr="00BB33A1">
            <w:rPr>
              <w:noProof w:val="0"/>
              <w:lang w:val="hr-HR"/>
            </w:rPr>
            <w:instrText xml:space="preserve"> TOC \o "1-3" \h \z \u </w:instrText>
          </w:r>
          <w:r w:rsidRPr="00BB33A1">
            <w:rPr>
              <w:noProof w:val="0"/>
              <w:lang w:val="hr-HR"/>
            </w:rPr>
            <w:fldChar w:fldCharType="separate"/>
          </w:r>
          <w:hyperlink w:anchor="_Toc195959676" w:history="1">
            <w:r w:rsidR="00DE57CD" w:rsidRPr="00F92D9A">
              <w:rPr>
                <w:rStyle w:val="Hiperveza"/>
              </w:rPr>
              <w:t>§ 1.</w:t>
            </w:r>
            <w:r w:rsidR="00DE57CD">
              <w:rPr>
                <w:rFonts w:asciiTheme="minorHAnsi" w:eastAsiaTheme="minorEastAsia" w:hAnsiTheme="minorHAnsi" w:cstheme="minorBidi"/>
                <w:b w:val="0"/>
                <w:bCs w:val="0"/>
                <w:caps w:val="0"/>
                <w:color w:val="auto"/>
                <w:kern w:val="2"/>
                <w:lang w:val="en-GB" w:eastAsia="en-GB"/>
                <w14:ligatures w14:val="standardContextual"/>
              </w:rPr>
              <w:tab/>
            </w:r>
            <w:r w:rsidR="00DE57CD" w:rsidRPr="00F92D9A">
              <w:rPr>
                <w:rStyle w:val="Hiperveza"/>
              </w:rPr>
              <w:t>UVOD</w:t>
            </w:r>
            <w:r w:rsidR="00DE57CD">
              <w:rPr>
                <w:webHidden/>
              </w:rPr>
              <w:tab/>
            </w:r>
            <w:r w:rsidR="00DE57CD">
              <w:rPr>
                <w:webHidden/>
              </w:rPr>
              <w:fldChar w:fldCharType="begin"/>
            </w:r>
            <w:r w:rsidR="00DE57CD">
              <w:rPr>
                <w:webHidden/>
              </w:rPr>
              <w:instrText xml:space="preserve"> PAGEREF _Toc195959676 \h </w:instrText>
            </w:r>
            <w:r w:rsidR="00DE57CD">
              <w:rPr>
                <w:webHidden/>
              </w:rPr>
            </w:r>
            <w:r w:rsidR="00DE57CD">
              <w:rPr>
                <w:webHidden/>
              </w:rPr>
              <w:fldChar w:fldCharType="separate"/>
            </w:r>
            <w:r w:rsidR="00DE57CD">
              <w:rPr>
                <w:webHidden/>
              </w:rPr>
              <w:t>1</w:t>
            </w:r>
            <w:r w:rsidR="00DE57CD">
              <w:rPr>
                <w:webHidden/>
              </w:rPr>
              <w:fldChar w:fldCharType="end"/>
            </w:r>
          </w:hyperlink>
        </w:p>
        <w:p w14:paraId="7EC03557" w14:textId="074CE99C" w:rsidR="00DE57CD" w:rsidRDefault="00DE57CD">
          <w:pPr>
            <w:pStyle w:val="Sadraj1"/>
            <w:rPr>
              <w:rFonts w:asciiTheme="minorHAnsi" w:eastAsiaTheme="minorEastAsia" w:hAnsiTheme="minorHAnsi" w:cstheme="minorBidi"/>
              <w:b w:val="0"/>
              <w:bCs w:val="0"/>
              <w:caps w:val="0"/>
              <w:color w:val="auto"/>
              <w:kern w:val="2"/>
              <w:lang w:val="en-GB" w:eastAsia="en-GB"/>
              <w14:ligatures w14:val="standardContextual"/>
            </w:rPr>
          </w:pPr>
          <w:hyperlink w:anchor="_Toc195959677" w:history="1">
            <w:r w:rsidRPr="00F92D9A">
              <w:rPr>
                <w:rStyle w:val="Hiperveza"/>
              </w:rPr>
              <w:t>§ 2.</w:t>
            </w:r>
            <w:r>
              <w:rPr>
                <w:rFonts w:asciiTheme="minorHAnsi" w:eastAsiaTheme="minorEastAsia" w:hAnsiTheme="minorHAnsi" w:cstheme="minorBidi"/>
                <w:b w:val="0"/>
                <w:bCs w:val="0"/>
                <w:caps w:val="0"/>
                <w:color w:val="auto"/>
                <w:kern w:val="2"/>
                <w:lang w:val="en-GB" w:eastAsia="en-GB"/>
                <w14:ligatures w14:val="standardContextual"/>
              </w:rPr>
              <w:tab/>
            </w:r>
            <w:r w:rsidRPr="00F92D9A">
              <w:rPr>
                <w:rStyle w:val="Hiperveza"/>
              </w:rPr>
              <w:t>Prikaz odabrane teme</w:t>
            </w:r>
            <w:r>
              <w:rPr>
                <w:webHidden/>
              </w:rPr>
              <w:tab/>
            </w:r>
            <w:r>
              <w:rPr>
                <w:webHidden/>
              </w:rPr>
              <w:fldChar w:fldCharType="begin"/>
            </w:r>
            <w:r>
              <w:rPr>
                <w:webHidden/>
              </w:rPr>
              <w:instrText xml:space="preserve"> PAGEREF _Toc195959677 \h </w:instrText>
            </w:r>
            <w:r>
              <w:rPr>
                <w:webHidden/>
              </w:rPr>
            </w:r>
            <w:r>
              <w:rPr>
                <w:webHidden/>
              </w:rPr>
              <w:fldChar w:fldCharType="separate"/>
            </w:r>
            <w:r>
              <w:rPr>
                <w:webHidden/>
              </w:rPr>
              <w:t>2</w:t>
            </w:r>
            <w:r>
              <w:rPr>
                <w:webHidden/>
              </w:rPr>
              <w:fldChar w:fldCharType="end"/>
            </w:r>
          </w:hyperlink>
        </w:p>
        <w:p w14:paraId="2ECB3D52" w14:textId="1E9F1A47" w:rsidR="00DE57CD" w:rsidRDefault="00DE57CD">
          <w:pPr>
            <w:pStyle w:val="Sadraj2"/>
            <w:rPr>
              <w:rFonts w:asciiTheme="minorHAnsi" w:eastAsiaTheme="minorEastAsia" w:hAnsiTheme="minorHAnsi" w:cstheme="minorBidi"/>
              <w:b w:val="0"/>
              <w:bCs w:val="0"/>
              <w:noProof/>
              <w:kern w:val="2"/>
              <w:sz w:val="24"/>
              <w:szCs w:val="24"/>
              <w:lang w:val="en-GB" w:eastAsia="en-GB"/>
              <w14:ligatures w14:val="standardContextual"/>
            </w:rPr>
          </w:pPr>
          <w:hyperlink w:anchor="_Toc195959678" w:history="1">
            <w:r w:rsidRPr="00F92D9A">
              <w:rPr>
                <w:rStyle w:val="Hiperveza"/>
                <w:noProof/>
              </w:rPr>
              <w:t>2.1.</w:t>
            </w:r>
            <w:r>
              <w:rPr>
                <w:rFonts w:asciiTheme="minorHAnsi" w:eastAsiaTheme="minorEastAsia" w:hAnsiTheme="minorHAnsi" w:cstheme="minorBidi"/>
                <w:b w:val="0"/>
                <w:bCs w:val="0"/>
                <w:noProof/>
                <w:kern w:val="2"/>
                <w:sz w:val="24"/>
                <w:szCs w:val="24"/>
                <w:lang w:val="en-GB" w:eastAsia="en-GB"/>
                <w14:ligatures w14:val="standardContextual"/>
              </w:rPr>
              <w:tab/>
            </w:r>
            <w:r w:rsidRPr="00F92D9A">
              <w:rPr>
                <w:rStyle w:val="Hiperveza"/>
                <w:noProof/>
              </w:rPr>
              <w:t>Ciklodekstrini</w:t>
            </w:r>
            <w:r>
              <w:rPr>
                <w:noProof/>
                <w:webHidden/>
              </w:rPr>
              <w:tab/>
            </w:r>
            <w:r>
              <w:rPr>
                <w:noProof/>
                <w:webHidden/>
              </w:rPr>
              <w:fldChar w:fldCharType="begin"/>
            </w:r>
            <w:r>
              <w:rPr>
                <w:noProof/>
                <w:webHidden/>
              </w:rPr>
              <w:instrText xml:space="preserve"> PAGEREF _Toc195959678 \h </w:instrText>
            </w:r>
            <w:r>
              <w:rPr>
                <w:noProof/>
                <w:webHidden/>
              </w:rPr>
            </w:r>
            <w:r>
              <w:rPr>
                <w:noProof/>
                <w:webHidden/>
              </w:rPr>
              <w:fldChar w:fldCharType="separate"/>
            </w:r>
            <w:r>
              <w:rPr>
                <w:noProof/>
                <w:webHidden/>
              </w:rPr>
              <w:t>2</w:t>
            </w:r>
            <w:r>
              <w:rPr>
                <w:noProof/>
                <w:webHidden/>
              </w:rPr>
              <w:fldChar w:fldCharType="end"/>
            </w:r>
          </w:hyperlink>
        </w:p>
        <w:p w14:paraId="45FC5039" w14:textId="505F0AD2" w:rsidR="00DE57CD" w:rsidRDefault="00DE57CD">
          <w:pPr>
            <w:pStyle w:val="Sadraj2"/>
            <w:rPr>
              <w:rFonts w:asciiTheme="minorHAnsi" w:eastAsiaTheme="minorEastAsia" w:hAnsiTheme="minorHAnsi" w:cstheme="minorBidi"/>
              <w:b w:val="0"/>
              <w:bCs w:val="0"/>
              <w:noProof/>
              <w:kern w:val="2"/>
              <w:sz w:val="24"/>
              <w:szCs w:val="24"/>
              <w:lang w:val="en-GB" w:eastAsia="en-GB"/>
              <w14:ligatures w14:val="standardContextual"/>
            </w:rPr>
          </w:pPr>
          <w:hyperlink w:anchor="_Toc195959679" w:history="1">
            <w:r w:rsidRPr="00F92D9A">
              <w:rPr>
                <w:rStyle w:val="Hiperveza"/>
                <w:noProof/>
              </w:rPr>
              <w:t>2.2.</w:t>
            </w:r>
            <w:r>
              <w:rPr>
                <w:rFonts w:asciiTheme="minorHAnsi" w:eastAsiaTheme="minorEastAsia" w:hAnsiTheme="minorHAnsi" w:cstheme="minorBidi"/>
                <w:b w:val="0"/>
                <w:bCs w:val="0"/>
                <w:noProof/>
                <w:kern w:val="2"/>
                <w:sz w:val="24"/>
                <w:szCs w:val="24"/>
                <w:lang w:val="en-GB" w:eastAsia="en-GB"/>
                <w14:ligatures w14:val="standardContextual"/>
              </w:rPr>
              <w:tab/>
            </w:r>
            <w:r w:rsidRPr="00F92D9A">
              <w:rPr>
                <w:rStyle w:val="Hiperveza"/>
                <w:noProof/>
              </w:rPr>
              <w:t>Spektroskopija nuklearne magnetske rezonancije u čvrstom stanju</w:t>
            </w:r>
            <w:r>
              <w:rPr>
                <w:noProof/>
                <w:webHidden/>
              </w:rPr>
              <w:tab/>
            </w:r>
            <w:r>
              <w:rPr>
                <w:noProof/>
                <w:webHidden/>
              </w:rPr>
              <w:fldChar w:fldCharType="begin"/>
            </w:r>
            <w:r>
              <w:rPr>
                <w:noProof/>
                <w:webHidden/>
              </w:rPr>
              <w:instrText xml:space="preserve"> PAGEREF _Toc195959679 \h </w:instrText>
            </w:r>
            <w:r>
              <w:rPr>
                <w:noProof/>
                <w:webHidden/>
              </w:rPr>
            </w:r>
            <w:r>
              <w:rPr>
                <w:noProof/>
                <w:webHidden/>
              </w:rPr>
              <w:fldChar w:fldCharType="separate"/>
            </w:r>
            <w:r>
              <w:rPr>
                <w:noProof/>
                <w:webHidden/>
              </w:rPr>
              <w:t>7</w:t>
            </w:r>
            <w:r>
              <w:rPr>
                <w:noProof/>
                <w:webHidden/>
              </w:rPr>
              <w:fldChar w:fldCharType="end"/>
            </w:r>
          </w:hyperlink>
        </w:p>
        <w:p w14:paraId="7B9E87F3" w14:textId="02844F94" w:rsidR="00DE57CD" w:rsidRDefault="00DE57CD">
          <w:pPr>
            <w:pStyle w:val="Sadraj2"/>
            <w:rPr>
              <w:rFonts w:asciiTheme="minorHAnsi" w:eastAsiaTheme="minorEastAsia" w:hAnsiTheme="minorHAnsi" w:cstheme="minorBidi"/>
              <w:b w:val="0"/>
              <w:bCs w:val="0"/>
              <w:noProof/>
              <w:kern w:val="2"/>
              <w:sz w:val="24"/>
              <w:szCs w:val="24"/>
              <w:lang w:val="en-GB" w:eastAsia="en-GB"/>
              <w14:ligatures w14:val="standardContextual"/>
            </w:rPr>
          </w:pPr>
          <w:hyperlink w:anchor="_Toc195959680" w:history="1">
            <w:r w:rsidRPr="00F92D9A">
              <w:rPr>
                <w:rStyle w:val="Hiperveza"/>
                <w:noProof/>
              </w:rPr>
              <w:t>2.3.</w:t>
            </w:r>
            <w:r>
              <w:rPr>
                <w:rFonts w:asciiTheme="minorHAnsi" w:eastAsiaTheme="minorEastAsia" w:hAnsiTheme="minorHAnsi" w:cstheme="minorBidi"/>
                <w:b w:val="0"/>
                <w:bCs w:val="0"/>
                <w:noProof/>
                <w:kern w:val="2"/>
                <w:sz w:val="24"/>
                <w:szCs w:val="24"/>
                <w:lang w:val="en-GB" w:eastAsia="en-GB"/>
                <w14:ligatures w14:val="standardContextual"/>
              </w:rPr>
              <w:tab/>
            </w:r>
            <w:r w:rsidRPr="00F92D9A">
              <w:rPr>
                <w:rStyle w:val="Hiperveza"/>
                <w:noProof/>
              </w:rPr>
              <w:t>Pristupi analizi ciklodekstrinskih sustava pomoću ssNMR</w:t>
            </w:r>
            <w:r>
              <w:rPr>
                <w:noProof/>
                <w:webHidden/>
              </w:rPr>
              <w:tab/>
            </w:r>
            <w:r>
              <w:rPr>
                <w:noProof/>
                <w:webHidden/>
              </w:rPr>
              <w:fldChar w:fldCharType="begin"/>
            </w:r>
            <w:r>
              <w:rPr>
                <w:noProof/>
                <w:webHidden/>
              </w:rPr>
              <w:instrText xml:space="preserve"> PAGEREF _Toc195959680 \h </w:instrText>
            </w:r>
            <w:r>
              <w:rPr>
                <w:noProof/>
                <w:webHidden/>
              </w:rPr>
            </w:r>
            <w:r>
              <w:rPr>
                <w:noProof/>
                <w:webHidden/>
              </w:rPr>
              <w:fldChar w:fldCharType="separate"/>
            </w:r>
            <w:r>
              <w:rPr>
                <w:noProof/>
                <w:webHidden/>
              </w:rPr>
              <w:t>12</w:t>
            </w:r>
            <w:r>
              <w:rPr>
                <w:noProof/>
                <w:webHidden/>
              </w:rPr>
              <w:fldChar w:fldCharType="end"/>
            </w:r>
          </w:hyperlink>
        </w:p>
        <w:p w14:paraId="0BD26F0A" w14:textId="7F99B86B" w:rsidR="00DE57CD" w:rsidRDefault="00DE57CD">
          <w:pPr>
            <w:pStyle w:val="Sadraj3"/>
            <w:rPr>
              <w:rFonts w:asciiTheme="minorHAnsi" w:eastAsiaTheme="minorEastAsia" w:hAnsiTheme="minorHAnsi" w:cstheme="minorBidi"/>
              <w:i w:val="0"/>
              <w:iCs w:val="0"/>
              <w:noProof/>
              <w:kern w:val="2"/>
              <w:sz w:val="24"/>
              <w:szCs w:val="24"/>
              <w:lang w:val="en-GB" w:eastAsia="en-GB"/>
              <w14:ligatures w14:val="standardContextual"/>
            </w:rPr>
          </w:pPr>
          <w:hyperlink w:anchor="_Toc195959681" w:history="1">
            <w:r w:rsidRPr="00F92D9A">
              <w:rPr>
                <w:rStyle w:val="Hiperveza"/>
                <w:noProof/>
              </w:rPr>
              <w:t>2.3.1.</w:t>
            </w:r>
            <w:r>
              <w:rPr>
                <w:rFonts w:asciiTheme="minorHAnsi" w:eastAsiaTheme="minorEastAsia" w:hAnsiTheme="minorHAnsi" w:cstheme="minorBidi"/>
                <w:i w:val="0"/>
                <w:iCs w:val="0"/>
                <w:noProof/>
                <w:kern w:val="2"/>
                <w:sz w:val="24"/>
                <w:szCs w:val="24"/>
                <w:lang w:val="en-GB" w:eastAsia="en-GB"/>
                <w14:ligatures w14:val="standardContextual"/>
              </w:rPr>
              <w:tab/>
            </w:r>
            <w:r w:rsidRPr="00F92D9A">
              <w:rPr>
                <w:rStyle w:val="Hiperveza"/>
                <w:noProof/>
              </w:rPr>
              <w:t>Izravna polarizacija (DP)</w:t>
            </w:r>
            <w:r>
              <w:rPr>
                <w:noProof/>
                <w:webHidden/>
              </w:rPr>
              <w:tab/>
            </w:r>
            <w:r>
              <w:rPr>
                <w:noProof/>
                <w:webHidden/>
              </w:rPr>
              <w:fldChar w:fldCharType="begin"/>
            </w:r>
            <w:r>
              <w:rPr>
                <w:noProof/>
                <w:webHidden/>
              </w:rPr>
              <w:instrText xml:space="preserve"> PAGEREF _Toc195959681 \h </w:instrText>
            </w:r>
            <w:r>
              <w:rPr>
                <w:noProof/>
                <w:webHidden/>
              </w:rPr>
            </w:r>
            <w:r>
              <w:rPr>
                <w:noProof/>
                <w:webHidden/>
              </w:rPr>
              <w:fldChar w:fldCharType="separate"/>
            </w:r>
            <w:r>
              <w:rPr>
                <w:noProof/>
                <w:webHidden/>
              </w:rPr>
              <w:t>14</w:t>
            </w:r>
            <w:r>
              <w:rPr>
                <w:noProof/>
                <w:webHidden/>
              </w:rPr>
              <w:fldChar w:fldCharType="end"/>
            </w:r>
          </w:hyperlink>
        </w:p>
        <w:p w14:paraId="22FA8C8E" w14:textId="1330AB03" w:rsidR="00DE57CD" w:rsidRDefault="00DE57CD">
          <w:pPr>
            <w:pStyle w:val="Sadraj3"/>
            <w:rPr>
              <w:rFonts w:asciiTheme="minorHAnsi" w:eastAsiaTheme="minorEastAsia" w:hAnsiTheme="minorHAnsi" w:cstheme="minorBidi"/>
              <w:i w:val="0"/>
              <w:iCs w:val="0"/>
              <w:noProof/>
              <w:kern w:val="2"/>
              <w:sz w:val="24"/>
              <w:szCs w:val="24"/>
              <w:lang w:val="en-GB" w:eastAsia="en-GB"/>
              <w14:ligatures w14:val="standardContextual"/>
            </w:rPr>
          </w:pPr>
          <w:hyperlink w:anchor="_Toc195959682" w:history="1">
            <w:r w:rsidRPr="00F92D9A">
              <w:rPr>
                <w:rStyle w:val="Hiperveza"/>
                <w:noProof/>
              </w:rPr>
              <w:t>2.3.2.</w:t>
            </w:r>
            <w:r>
              <w:rPr>
                <w:rFonts w:asciiTheme="minorHAnsi" w:eastAsiaTheme="minorEastAsia" w:hAnsiTheme="minorHAnsi" w:cstheme="minorBidi"/>
                <w:i w:val="0"/>
                <w:iCs w:val="0"/>
                <w:noProof/>
                <w:kern w:val="2"/>
                <w:sz w:val="24"/>
                <w:szCs w:val="24"/>
                <w:lang w:val="en-GB" w:eastAsia="en-GB"/>
                <w14:ligatures w14:val="standardContextual"/>
              </w:rPr>
              <w:tab/>
            </w:r>
            <w:r w:rsidRPr="00F92D9A">
              <w:rPr>
                <w:rStyle w:val="Hiperveza"/>
                <w:noProof/>
              </w:rPr>
              <w:t>Eksperimenti s promjenjivim vremenom kontakta (VCT)</w:t>
            </w:r>
            <w:r>
              <w:rPr>
                <w:noProof/>
                <w:webHidden/>
              </w:rPr>
              <w:tab/>
            </w:r>
            <w:r>
              <w:rPr>
                <w:noProof/>
                <w:webHidden/>
              </w:rPr>
              <w:fldChar w:fldCharType="begin"/>
            </w:r>
            <w:r>
              <w:rPr>
                <w:noProof/>
                <w:webHidden/>
              </w:rPr>
              <w:instrText xml:space="preserve"> PAGEREF _Toc195959682 \h </w:instrText>
            </w:r>
            <w:r>
              <w:rPr>
                <w:noProof/>
                <w:webHidden/>
              </w:rPr>
            </w:r>
            <w:r>
              <w:rPr>
                <w:noProof/>
                <w:webHidden/>
              </w:rPr>
              <w:fldChar w:fldCharType="separate"/>
            </w:r>
            <w:r>
              <w:rPr>
                <w:noProof/>
                <w:webHidden/>
              </w:rPr>
              <w:t>15</w:t>
            </w:r>
            <w:r>
              <w:rPr>
                <w:noProof/>
                <w:webHidden/>
              </w:rPr>
              <w:fldChar w:fldCharType="end"/>
            </w:r>
          </w:hyperlink>
        </w:p>
        <w:p w14:paraId="00EEE6BA" w14:textId="63831121" w:rsidR="00DE57CD" w:rsidRDefault="00DE57CD">
          <w:pPr>
            <w:pStyle w:val="Sadraj3"/>
            <w:rPr>
              <w:rFonts w:asciiTheme="minorHAnsi" w:eastAsiaTheme="minorEastAsia" w:hAnsiTheme="minorHAnsi" w:cstheme="minorBidi"/>
              <w:i w:val="0"/>
              <w:iCs w:val="0"/>
              <w:noProof/>
              <w:kern w:val="2"/>
              <w:sz w:val="24"/>
              <w:szCs w:val="24"/>
              <w:lang w:val="en-GB" w:eastAsia="en-GB"/>
              <w14:ligatures w14:val="standardContextual"/>
            </w:rPr>
          </w:pPr>
          <w:hyperlink w:anchor="_Toc195959683" w:history="1">
            <w:r w:rsidRPr="00F92D9A">
              <w:rPr>
                <w:rStyle w:val="Hiperveza"/>
                <w:noProof/>
              </w:rPr>
              <w:t>2.3.3.</w:t>
            </w:r>
            <w:r>
              <w:rPr>
                <w:rFonts w:asciiTheme="minorHAnsi" w:eastAsiaTheme="minorEastAsia" w:hAnsiTheme="minorHAnsi" w:cstheme="minorBidi"/>
                <w:i w:val="0"/>
                <w:iCs w:val="0"/>
                <w:noProof/>
                <w:kern w:val="2"/>
                <w:sz w:val="24"/>
                <w:szCs w:val="24"/>
                <w:lang w:val="en-GB" w:eastAsia="en-GB"/>
                <w14:ligatures w14:val="standardContextual"/>
              </w:rPr>
              <w:tab/>
            </w:r>
            <w:r w:rsidRPr="00F92D9A">
              <w:rPr>
                <w:rStyle w:val="Hiperveza"/>
                <w:noProof/>
              </w:rPr>
              <w:t>Proučavanje drugih jezgri u CD sustavima</w:t>
            </w:r>
            <w:r>
              <w:rPr>
                <w:noProof/>
                <w:webHidden/>
              </w:rPr>
              <w:tab/>
            </w:r>
            <w:r>
              <w:rPr>
                <w:noProof/>
                <w:webHidden/>
              </w:rPr>
              <w:fldChar w:fldCharType="begin"/>
            </w:r>
            <w:r>
              <w:rPr>
                <w:noProof/>
                <w:webHidden/>
              </w:rPr>
              <w:instrText xml:space="preserve"> PAGEREF _Toc195959683 \h </w:instrText>
            </w:r>
            <w:r>
              <w:rPr>
                <w:noProof/>
                <w:webHidden/>
              </w:rPr>
            </w:r>
            <w:r>
              <w:rPr>
                <w:noProof/>
                <w:webHidden/>
              </w:rPr>
              <w:fldChar w:fldCharType="separate"/>
            </w:r>
            <w:r>
              <w:rPr>
                <w:noProof/>
                <w:webHidden/>
              </w:rPr>
              <w:t>15</w:t>
            </w:r>
            <w:r>
              <w:rPr>
                <w:noProof/>
                <w:webHidden/>
              </w:rPr>
              <w:fldChar w:fldCharType="end"/>
            </w:r>
          </w:hyperlink>
        </w:p>
        <w:p w14:paraId="68161774" w14:textId="42B7F637" w:rsidR="00DE57CD" w:rsidRDefault="00DE57CD">
          <w:pPr>
            <w:pStyle w:val="Sadraj3"/>
            <w:rPr>
              <w:rFonts w:asciiTheme="minorHAnsi" w:eastAsiaTheme="minorEastAsia" w:hAnsiTheme="minorHAnsi" w:cstheme="minorBidi"/>
              <w:i w:val="0"/>
              <w:iCs w:val="0"/>
              <w:noProof/>
              <w:kern w:val="2"/>
              <w:sz w:val="24"/>
              <w:szCs w:val="24"/>
              <w:lang w:val="en-GB" w:eastAsia="en-GB"/>
              <w14:ligatures w14:val="standardContextual"/>
            </w:rPr>
          </w:pPr>
          <w:hyperlink w:anchor="_Toc195959684" w:history="1">
            <w:r w:rsidRPr="00F92D9A">
              <w:rPr>
                <w:rStyle w:val="Hiperveza"/>
                <w:noProof/>
              </w:rPr>
              <w:t>2.3.4.</w:t>
            </w:r>
            <w:r>
              <w:rPr>
                <w:rFonts w:asciiTheme="minorHAnsi" w:eastAsiaTheme="minorEastAsia" w:hAnsiTheme="minorHAnsi" w:cstheme="minorBidi"/>
                <w:i w:val="0"/>
                <w:iCs w:val="0"/>
                <w:noProof/>
                <w:kern w:val="2"/>
                <w:sz w:val="24"/>
                <w:szCs w:val="24"/>
                <w:lang w:val="en-GB" w:eastAsia="en-GB"/>
                <w14:ligatures w14:val="standardContextual"/>
              </w:rPr>
              <w:tab/>
            </w:r>
            <w:r w:rsidRPr="00F92D9A">
              <w:rPr>
                <w:rStyle w:val="Hiperveza"/>
                <w:noProof/>
              </w:rPr>
              <w:t>Relaksacijska mjerenja</w:t>
            </w:r>
            <w:r>
              <w:rPr>
                <w:noProof/>
                <w:webHidden/>
              </w:rPr>
              <w:tab/>
            </w:r>
            <w:r>
              <w:rPr>
                <w:noProof/>
                <w:webHidden/>
              </w:rPr>
              <w:fldChar w:fldCharType="begin"/>
            </w:r>
            <w:r>
              <w:rPr>
                <w:noProof/>
                <w:webHidden/>
              </w:rPr>
              <w:instrText xml:space="preserve"> PAGEREF _Toc195959684 \h </w:instrText>
            </w:r>
            <w:r>
              <w:rPr>
                <w:noProof/>
                <w:webHidden/>
              </w:rPr>
            </w:r>
            <w:r>
              <w:rPr>
                <w:noProof/>
                <w:webHidden/>
              </w:rPr>
              <w:fldChar w:fldCharType="separate"/>
            </w:r>
            <w:r>
              <w:rPr>
                <w:noProof/>
                <w:webHidden/>
              </w:rPr>
              <w:t>15</w:t>
            </w:r>
            <w:r>
              <w:rPr>
                <w:noProof/>
                <w:webHidden/>
              </w:rPr>
              <w:fldChar w:fldCharType="end"/>
            </w:r>
          </w:hyperlink>
        </w:p>
        <w:p w14:paraId="328EAB96" w14:textId="3D6C4618" w:rsidR="00DE57CD" w:rsidRDefault="00DE57CD">
          <w:pPr>
            <w:pStyle w:val="Sadraj3"/>
            <w:rPr>
              <w:rFonts w:asciiTheme="minorHAnsi" w:eastAsiaTheme="minorEastAsia" w:hAnsiTheme="minorHAnsi" w:cstheme="minorBidi"/>
              <w:i w:val="0"/>
              <w:iCs w:val="0"/>
              <w:noProof/>
              <w:kern w:val="2"/>
              <w:sz w:val="24"/>
              <w:szCs w:val="24"/>
              <w:lang w:val="en-GB" w:eastAsia="en-GB"/>
              <w14:ligatures w14:val="standardContextual"/>
            </w:rPr>
          </w:pPr>
          <w:hyperlink w:anchor="_Toc195959685" w:history="1">
            <w:r w:rsidRPr="00F92D9A">
              <w:rPr>
                <w:rStyle w:val="Hiperveza"/>
                <w:noProof/>
              </w:rPr>
              <w:t>2.3.5.</w:t>
            </w:r>
            <w:r>
              <w:rPr>
                <w:rFonts w:asciiTheme="minorHAnsi" w:eastAsiaTheme="minorEastAsia" w:hAnsiTheme="minorHAnsi" w:cstheme="minorBidi"/>
                <w:i w:val="0"/>
                <w:iCs w:val="0"/>
                <w:noProof/>
                <w:kern w:val="2"/>
                <w:sz w:val="24"/>
                <w:szCs w:val="24"/>
                <w:lang w:val="en-GB" w:eastAsia="en-GB"/>
                <w14:ligatures w14:val="standardContextual"/>
              </w:rPr>
              <w:tab/>
            </w:r>
            <w:r w:rsidRPr="00F92D9A">
              <w:rPr>
                <w:rStyle w:val="Hiperveza"/>
                <w:noProof/>
              </w:rPr>
              <w:t>Dvodimenzionalni (2D) ssNMR pristupi</w:t>
            </w:r>
            <w:r>
              <w:rPr>
                <w:noProof/>
                <w:webHidden/>
              </w:rPr>
              <w:tab/>
            </w:r>
            <w:r>
              <w:rPr>
                <w:noProof/>
                <w:webHidden/>
              </w:rPr>
              <w:fldChar w:fldCharType="begin"/>
            </w:r>
            <w:r>
              <w:rPr>
                <w:noProof/>
                <w:webHidden/>
              </w:rPr>
              <w:instrText xml:space="preserve"> PAGEREF _Toc195959685 \h </w:instrText>
            </w:r>
            <w:r>
              <w:rPr>
                <w:noProof/>
                <w:webHidden/>
              </w:rPr>
            </w:r>
            <w:r>
              <w:rPr>
                <w:noProof/>
                <w:webHidden/>
              </w:rPr>
              <w:fldChar w:fldCharType="separate"/>
            </w:r>
            <w:r>
              <w:rPr>
                <w:noProof/>
                <w:webHidden/>
              </w:rPr>
              <w:t>16</w:t>
            </w:r>
            <w:r>
              <w:rPr>
                <w:noProof/>
                <w:webHidden/>
              </w:rPr>
              <w:fldChar w:fldCharType="end"/>
            </w:r>
          </w:hyperlink>
        </w:p>
        <w:p w14:paraId="265974C2" w14:textId="2D73A5BD" w:rsidR="00DE57CD" w:rsidRDefault="00DE57CD">
          <w:pPr>
            <w:pStyle w:val="Sadraj2"/>
            <w:rPr>
              <w:rFonts w:asciiTheme="minorHAnsi" w:eastAsiaTheme="minorEastAsia" w:hAnsiTheme="minorHAnsi" w:cstheme="minorBidi"/>
              <w:b w:val="0"/>
              <w:bCs w:val="0"/>
              <w:noProof/>
              <w:kern w:val="2"/>
              <w:sz w:val="24"/>
              <w:szCs w:val="24"/>
              <w:lang w:val="en-GB" w:eastAsia="en-GB"/>
              <w14:ligatures w14:val="standardContextual"/>
            </w:rPr>
          </w:pPr>
          <w:hyperlink w:anchor="_Toc195959686" w:history="1">
            <w:r w:rsidRPr="00F92D9A">
              <w:rPr>
                <w:rStyle w:val="Hiperveza"/>
                <w:noProof/>
              </w:rPr>
              <w:t>2.4.</w:t>
            </w:r>
            <w:r>
              <w:rPr>
                <w:rFonts w:asciiTheme="minorHAnsi" w:eastAsiaTheme="minorEastAsia" w:hAnsiTheme="minorHAnsi" w:cstheme="minorBidi"/>
                <w:b w:val="0"/>
                <w:bCs w:val="0"/>
                <w:noProof/>
                <w:kern w:val="2"/>
                <w:sz w:val="24"/>
                <w:szCs w:val="24"/>
                <w:lang w:val="en-GB" w:eastAsia="en-GB"/>
                <w14:ligatures w14:val="standardContextual"/>
              </w:rPr>
              <w:tab/>
            </w:r>
            <w:r w:rsidRPr="00F92D9A">
              <w:rPr>
                <w:rStyle w:val="Hiperveza"/>
                <w:noProof/>
              </w:rPr>
              <w:t>Kategorizacija primjene ssNMR-a u analizi CD kompleksa prema ulozi CD-a</w:t>
            </w:r>
            <w:r>
              <w:rPr>
                <w:noProof/>
                <w:webHidden/>
              </w:rPr>
              <w:tab/>
            </w:r>
            <w:r>
              <w:rPr>
                <w:noProof/>
                <w:webHidden/>
              </w:rPr>
              <w:fldChar w:fldCharType="begin"/>
            </w:r>
            <w:r>
              <w:rPr>
                <w:noProof/>
                <w:webHidden/>
              </w:rPr>
              <w:instrText xml:space="preserve"> PAGEREF _Toc195959686 \h </w:instrText>
            </w:r>
            <w:r>
              <w:rPr>
                <w:noProof/>
                <w:webHidden/>
              </w:rPr>
            </w:r>
            <w:r>
              <w:rPr>
                <w:noProof/>
                <w:webHidden/>
              </w:rPr>
              <w:fldChar w:fldCharType="separate"/>
            </w:r>
            <w:r>
              <w:rPr>
                <w:noProof/>
                <w:webHidden/>
              </w:rPr>
              <w:t>16</w:t>
            </w:r>
            <w:r>
              <w:rPr>
                <w:noProof/>
                <w:webHidden/>
              </w:rPr>
              <w:fldChar w:fldCharType="end"/>
            </w:r>
          </w:hyperlink>
        </w:p>
        <w:p w14:paraId="50E0F318" w14:textId="54E2B549" w:rsidR="00DE57CD" w:rsidRDefault="00DE57CD">
          <w:pPr>
            <w:pStyle w:val="Sadraj3"/>
            <w:rPr>
              <w:rFonts w:asciiTheme="minorHAnsi" w:eastAsiaTheme="minorEastAsia" w:hAnsiTheme="minorHAnsi" w:cstheme="minorBidi"/>
              <w:i w:val="0"/>
              <w:iCs w:val="0"/>
              <w:noProof/>
              <w:kern w:val="2"/>
              <w:sz w:val="24"/>
              <w:szCs w:val="24"/>
              <w:lang w:val="en-GB" w:eastAsia="en-GB"/>
              <w14:ligatures w14:val="standardContextual"/>
            </w:rPr>
          </w:pPr>
          <w:hyperlink w:anchor="_Toc195959687" w:history="1">
            <w:r w:rsidRPr="00F92D9A">
              <w:rPr>
                <w:rStyle w:val="Hiperveza"/>
                <w:noProof/>
              </w:rPr>
              <w:t>2.4.1.</w:t>
            </w:r>
            <w:r>
              <w:rPr>
                <w:rFonts w:asciiTheme="minorHAnsi" w:eastAsiaTheme="minorEastAsia" w:hAnsiTheme="minorHAnsi" w:cstheme="minorBidi"/>
                <w:i w:val="0"/>
                <w:iCs w:val="0"/>
                <w:noProof/>
                <w:kern w:val="2"/>
                <w:sz w:val="24"/>
                <w:szCs w:val="24"/>
                <w:lang w:val="en-GB" w:eastAsia="en-GB"/>
                <w14:ligatures w14:val="standardContextual"/>
              </w:rPr>
              <w:tab/>
            </w:r>
            <w:r w:rsidRPr="00F92D9A">
              <w:rPr>
                <w:rStyle w:val="Hiperveza"/>
                <w:noProof/>
              </w:rPr>
              <w:t>Proučavanje CD sustava kao nosače lijekova</w:t>
            </w:r>
            <w:r>
              <w:rPr>
                <w:noProof/>
                <w:webHidden/>
              </w:rPr>
              <w:tab/>
            </w:r>
            <w:r>
              <w:rPr>
                <w:noProof/>
                <w:webHidden/>
              </w:rPr>
              <w:fldChar w:fldCharType="begin"/>
            </w:r>
            <w:r>
              <w:rPr>
                <w:noProof/>
                <w:webHidden/>
              </w:rPr>
              <w:instrText xml:space="preserve"> PAGEREF _Toc195959687 \h </w:instrText>
            </w:r>
            <w:r>
              <w:rPr>
                <w:noProof/>
                <w:webHidden/>
              </w:rPr>
            </w:r>
            <w:r>
              <w:rPr>
                <w:noProof/>
                <w:webHidden/>
              </w:rPr>
              <w:fldChar w:fldCharType="separate"/>
            </w:r>
            <w:r>
              <w:rPr>
                <w:noProof/>
                <w:webHidden/>
              </w:rPr>
              <w:t>16</w:t>
            </w:r>
            <w:r>
              <w:rPr>
                <w:noProof/>
                <w:webHidden/>
              </w:rPr>
              <w:fldChar w:fldCharType="end"/>
            </w:r>
          </w:hyperlink>
        </w:p>
        <w:p w14:paraId="60DAB788" w14:textId="7D4699AA" w:rsidR="00DE57CD" w:rsidRDefault="00DE57CD">
          <w:pPr>
            <w:pStyle w:val="Sadraj3"/>
            <w:rPr>
              <w:rFonts w:asciiTheme="minorHAnsi" w:eastAsiaTheme="minorEastAsia" w:hAnsiTheme="minorHAnsi" w:cstheme="minorBidi"/>
              <w:i w:val="0"/>
              <w:iCs w:val="0"/>
              <w:noProof/>
              <w:kern w:val="2"/>
              <w:sz w:val="24"/>
              <w:szCs w:val="24"/>
              <w:lang w:val="en-GB" w:eastAsia="en-GB"/>
              <w14:ligatures w14:val="standardContextual"/>
            </w:rPr>
          </w:pPr>
          <w:hyperlink w:anchor="_Toc195959688" w:history="1">
            <w:r w:rsidRPr="00F92D9A">
              <w:rPr>
                <w:rStyle w:val="Hiperveza"/>
                <w:noProof/>
              </w:rPr>
              <w:t>2.4.2.</w:t>
            </w:r>
            <w:r>
              <w:rPr>
                <w:rFonts w:asciiTheme="minorHAnsi" w:eastAsiaTheme="minorEastAsia" w:hAnsiTheme="minorHAnsi" w:cstheme="minorBidi"/>
                <w:i w:val="0"/>
                <w:iCs w:val="0"/>
                <w:noProof/>
                <w:kern w:val="2"/>
                <w:sz w:val="24"/>
                <w:szCs w:val="24"/>
                <w:lang w:val="en-GB" w:eastAsia="en-GB"/>
                <w14:ligatures w14:val="standardContextual"/>
              </w:rPr>
              <w:tab/>
            </w:r>
            <w:r w:rsidRPr="00F92D9A">
              <w:rPr>
                <w:rStyle w:val="Hiperveza"/>
                <w:noProof/>
              </w:rPr>
              <w:t>Nanospužve i funkcionalizirani CD-ovi</w:t>
            </w:r>
            <w:r>
              <w:rPr>
                <w:noProof/>
                <w:webHidden/>
              </w:rPr>
              <w:tab/>
            </w:r>
            <w:r>
              <w:rPr>
                <w:noProof/>
                <w:webHidden/>
              </w:rPr>
              <w:fldChar w:fldCharType="begin"/>
            </w:r>
            <w:r>
              <w:rPr>
                <w:noProof/>
                <w:webHidden/>
              </w:rPr>
              <w:instrText xml:space="preserve"> PAGEREF _Toc195959688 \h </w:instrText>
            </w:r>
            <w:r>
              <w:rPr>
                <w:noProof/>
                <w:webHidden/>
              </w:rPr>
            </w:r>
            <w:r>
              <w:rPr>
                <w:noProof/>
                <w:webHidden/>
              </w:rPr>
              <w:fldChar w:fldCharType="separate"/>
            </w:r>
            <w:r>
              <w:rPr>
                <w:noProof/>
                <w:webHidden/>
              </w:rPr>
              <w:t>18</w:t>
            </w:r>
            <w:r>
              <w:rPr>
                <w:noProof/>
                <w:webHidden/>
              </w:rPr>
              <w:fldChar w:fldCharType="end"/>
            </w:r>
          </w:hyperlink>
        </w:p>
        <w:p w14:paraId="41BFD81D" w14:textId="463120C7" w:rsidR="00DE57CD" w:rsidRDefault="00DE57CD">
          <w:pPr>
            <w:pStyle w:val="Sadraj3"/>
            <w:rPr>
              <w:rFonts w:asciiTheme="minorHAnsi" w:eastAsiaTheme="minorEastAsia" w:hAnsiTheme="minorHAnsi" w:cstheme="minorBidi"/>
              <w:i w:val="0"/>
              <w:iCs w:val="0"/>
              <w:noProof/>
              <w:kern w:val="2"/>
              <w:sz w:val="24"/>
              <w:szCs w:val="24"/>
              <w:lang w:val="en-GB" w:eastAsia="en-GB"/>
              <w14:ligatures w14:val="standardContextual"/>
            </w:rPr>
          </w:pPr>
          <w:hyperlink w:anchor="_Toc195959689" w:history="1">
            <w:r w:rsidRPr="00F92D9A">
              <w:rPr>
                <w:rStyle w:val="Hiperveza"/>
                <w:noProof/>
              </w:rPr>
              <w:t>2.4.3.</w:t>
            </w:r>
            <w:r>
              <w:rPr>
                <w:rFonts w:asciiTheme="minorHAnsi" w:eastAsiaTheme="minorEastAsia" w:hAnsiTheme="minorHAnsi" w:cstheme="minorBidi"/>
                <w:i w:val="0"/>
                <w:iCs w:val="0"/>
                <w:noProof/>
                <w:kern w:val="2"/>
                <w:sz w:val="24"/>
                <w:szCs w:val="24"/>
                <w:lang w:val="en-GB" w:eastAsia="en-GB"/>
                <w14:ligatures w14:val="standardContextual"/>
              </w:rPr>
              <w:tab/>
            </w:r>
            <w:r w:rsidRPr="00F92D9A">
              <w:rPr>
                <w:rStyle w:val="Hiperveza"/>
                <w:noProof/>
              </w:rPr>
              <w:t>CD sustavi kao odstranjivači onečišćivala i senzorski uređaji</w:t>
            </w:r>
            <w:r>
              <w:rPr>
                <w:noProof/>
                <w:webHidden/>
              </w:rPr>
              <w:tab/>
            </w:r>
            <w:r>
              <w:rPr>
                <w:noProof/>
                <w:webHidden/>
              </w:rPr>
              <w:fldChar w:fldCharType="begin"/>
            </w:r>
            <w:r>
              <w:rPr>
                <w:noProof/>
                <w:webHidden/>
              </w:rPr>
              <w:instrText xml:space="preserve"> PAGEREF _Toc195959689 \h </w:instrText>
            </w:r>
            <w:r>
              <w:rPr>
                <w:noProof/>
                <w:webHidden/>
              </w:rPr>
            </w:r>
            <w:r>
              <w:rPr>
                <w:noProof/>
                <w:webHidden/>
              </w:rPr>
              <w:fldChar w:fldCharType="separate"/>
            </w:r>
            <w:r>
              <w:rPr>
                <w:noProof/>
                <w:webHidden/>
              </w:rPr>
              <w:t>19</w:t>
            </w:r>
            <w:r>
              <w:rPr>
                <w:noProof/>
                <w:webHidden/>
              </w:rPr>
              <w:fldChar w:fldCharType="end"/>
            </w:r>
          </w:hyperlink>
        </w:p>
        <w:p w14:paraId="77D2A61A" w14:textId="50E5BA5A" w:rsidR="00DE57CD" w:rsidRDefault="00DE57CD">
          <w:pPr>
            <w:pStyle w:val="Sadraj2"/>
            <w:rPr>
              <w:rFonts w:asciiTheme="minorHAnsi" w:eastAsiaTheme="minorEastAsia" w:hAnsiTheme="minorHAnsi" w:cstheme="minorBidi"/>
              <w:b w:val="0"/>
              <w:bCs w:val="0"/>
              <w:noProof/>
              <w:kern w:val="2"/>
              <w:sz w:val="24"/>
              <w:szCs w:val="24"/>
              <w:lang w:val="en-GB" w:eastAsia="en-GB"/>
              <w14:ligatures w14:val="standardContextual"/>
            </w:rPr>
          </w:pPr>
          <w:hyperlink w:anchor="_Toc195959690" w:history="1">
            <w:r w:rsidRPr="00F92D9A">
              <w:rPr>
                <w:rStyle w:val="Hiperveza"/>
                <w:noProof/>
              </w:rPr>
              <w:t>2.5.</w:t>
            </w:r>
            <w:r>
              <w:rPr>
                <w:rFonts w:asciiTheme="minorHAnsi" w:eastAsiaTheme="minorEastAsia" w:hAnsiTheme="minorHAnsi" w:cstheme="minorBidi"/>
                <w:b w:val="0"/>
                <w:bCs w:val="0"/>
                <w:noProof/>
                <w:kern w:val="2"/>
                <w:sz w:val="24"/>
                <w:szCs w:val="24"/>
                <w:lang w:val="en-GB" w:eastAsia="en-GB"/>
                <w14:ligatures w14:val="standardContextual"/>
              </w:rPr>
              <w:tab/>
            </w:r>
            <w:r w:rsidRPr="00F92D9A">
              <w:rPr>
                <w:rStyle w:val="Hiperveza"/>
                <w:noProof/>
              </w:rPr>
              <w:t>Ograničenja i izazovi primjene ssNMR spektroskopije u analizi CD sustava</w:t>
            </w:r>
            <w:r>
              <w:rPr>
                <w:noProof/>
                <w:webHidden/>
              </w:rPr>
              <w:tab/>
            </w:r>
            <w:r>
              <w:rPr>
                <w:noProof/>
                <w:webHidden/>
              </w:rPr>
              <w:fldChar w:fldCharType="begin"/>
            </w:r>
            <w:r>
              <w:rPr>
                <w:noProof/>
                <w:webHidden/>
              </w:rPr>
              <w:instrText xml:space="preserve"> PAGEREF _Toc195959690 \h </w:instrText>
            </w:r>
            <w:r>
              <w:rPr>
                <w:noProof/>
                <w:webHidden/>
              </w:rPr>
            </w:r>
            <w:r>
              <w:rPr>
                <w:noProof/>
                <w:webHidden/>
              </w:rPr>
              <w:fldChar w:fldCharType="separate"/>
            </w:r>
            <w:r>
              <w:rPr>
                <w:noProof/>
                <w:webHidden/>
              </w:rPr>
              <w:t>20</w:t>
            </w:r>
            <w:r>
              <w:rPr>
                <w:noProof/>
                <w:webHidden/>
              </w:rPr>
              <w:fldChar w:fldCharType="end"/>
            </w:r>
          </w:hyperlink>
        </w:p>
        <w:p w14:paraId="673B1DEB" w14:textId="0A8BA84F" w:rsidR="00DE57CD" w:rsidRDefault="00DE57CD">
          <w:pPr>
            <w:pStyle w:val="Sadraj1"/>
            <w:rPr>
              <w:rFonts w:asciiTheme="minorHAnsi" w:eastAsiaTheme="minorEastAsia" w:hAnsiTheme="minorHAnsi" w:cstheme="minorBidi"/>
              <w:b w:val="0"/>
              <w:bCs w:val="0"/>
              <w:caps w:val="0"/>
              <w:color w:val="auto"/>
              <w:kern w:val="2"/>
              <w:lang w:val="en-GB" w:eastAsia="en-GB"/>
              <w14:ligatures w14:val="standardContextual"/>
            </w:rPr>
          </w:pPr>
          <w:hyperlink w:anchor="_Toc195959691" w:history="1">
            <w:r w:rsidRPr="00F92D9A">
              <w:rPr>
                <w:rStyle w:val="Hiperveza"/>
              </w:rPr>
              <w:t>§ 3.</w:t>
            </w:r>
            <w:r>
              <w:rPr>
                <w:rFonts w:asciiTheme="minorHAnsi" w:eastAsiaTheme="minorEastAsia" w:hAnsiTheme="minorHAnsi" w:cstheme="minorBidi"/>
                <w:b w:val="0"/>
                <w:bCs w:val="0"/>
                <w:caps w:val="0"/>
                <w:color w:val="auto"/>
                <w:kern w:val="2"/>
                <w:lang w:val="en-GB" w:eastAsia="en-GB"/>
                <w14:ligatures w14:val="standardContextual"/>
              </w:rPr>
              <w:tab/>
            </w:r>
            <w:r w:rsidRPr="00F92D9A">
              <w:rPr>
                <w:rStyle w:val="Hiperveza"/>
              </w:rPr>
              <w:t>ZAKLJUČAK</w:t>
            </w:r>
            <w:r>
              <w:rPr>
                <w:webHidden/>
              </w:rPr>
              <w:tab/>
            </w:r>
            <w:r>
              <w:rPr>
                <w:webHidden/>
              </w:rPr>
              <w:fldChar w:fldCharType="begin"/>
            </w:r>
            <w:r>
              <w:rPr>
                <w:webHidden/>
              </w:rPr>
              <w:instrText xml:space="preserve"> PAGEREF _Toc195959691 \h </w:instrText>
            </w:r>
            <w:r>
              <w:rPr>
                <w:webHidden/>
              </w:rPr>
            </w:r>
            <w:r>
              <w:rPr>
                <w:webHidden/>
              </w:rPr>
              <w:fldChar w:fldCharType="separate"/>
            </w:r>
            <w:r>
              <w:rPr>
                <w:webHidden/>
              </w:rPr>
              <w:t>22</w:t>
            </w:r>
            <w:r>
              <w:rPr>
                <w:webHidden/>
              </w:rPr>
              <w:fldChar w:fldCharType="end"/>
            </w:r>
          </w:hyperlink>
        </w:p>
        <w:p w14:paraId="61F79E8E" w14:textId="13DF9478" w:rsidR="00DE57CD" w:rsidRDefault="00DE57CD">
          <w:pPr>
            <w:pStyle w:val="Sadraj1"/>
            <w:rPr>
              <w:rFonts w:asciiTheme="minorHAnsi" w:eastAsiaTheme="minorEastAsia" w:hAnsiTheme="minorHAnsi" w:cstheme="minorBidi"/>
              <w:b w:val="0"/>
              <w:bCs w:val="0"/>
              <w:caps w:val="0"/>
              <w:color w:val="auto"/>
              <w:kern w:val="2"/>
              <w:lang w:val="en-GB" w:eastAsia="en-GB"/>
              <w14:ligatures w14:val="standardContextual"/>
            </w:rPr>
          </w:pPr>
          <w:hyperlink w:anchor="_Toc195959692" w:history="1">
            <w:r w:rsidRPr="00F92D9A">
              <w:rPr>
                <w:rStyle w:val="Hiperveza"/>
              </w:rPr>
              <w:t>§ 4.</w:t>
            </w:r>
            <w:r>
              <w:rPr>
                <w:rFonts w:asciiTheme="minorHAnsi" w:eastAsiaTheme="minorEastAsia" w:hAnsiTheme="minorHAnsi" w:cstheme="minorBidi"/>
                <w:b w:val="0"/>
                <w:bCs w:val="0"/>
                <w:caps w:val="0"/>
                <w:color w:val="auto"/>
                <w:kern w:val="2"/>
                <w:lang w:val="en-GB" w:eastAsia="en-GB"/>
                <w14:ligatures w14:val="standardContextual"/>
              </w:rPr>
              <w:tab/>
            </w:r>
            <w:r w:rsidRPr="00F92D9A">
              <w:rPr>
                <w:rStyle w:val="Hiperveza"/>
              </w:rPr>
              <w:t>Popis oznakA, kraticA i simbolA (prema potrebi)</w:t>
            </w:r>
            <w:r>
              <w:rPr>
                <w:webHidden/>
              </w:rPr>
              <w:tab/>
            </w:r>
            <w:r>
              <w:rPr>
                <w:webHidden/>
              </w:rPr>
              <w:fldChar w:fldCharType="begin"/>
            </w:r>
            <w:r>
              <w:rPr>
                <w:webHidden/>
              </w:rPr>
              <w:instrText xml:space="preserve"> PAGEREF _Toc195959692 \h </w:instrText>
            </w:r>
            <w:r>
              <w:rPr>
                <w:webHidden/>
              </w:rPr>
            </w:r>
            <w:r>
              <w:rPr>
                <w:webHidden/>
              </w:rPr>
              <w:fldChar w:fldCharType="separate"/>
            </w:r>
            <w:r>
              <w:rPr>
                <w:webHidden/>
              </w:rPr>
              <w:t>23</w:t>
            </w:r>
            <w:r>
              <w:rPr>
                <w:webHidden/>
              </w:rPr>
              <w:fldChar w:fldCharType="end"/>
            </w:r>
          </w:hyperlink>
        </w:p>
        <w:p w14:paraId="738A93C9" w14:textId="6B5CB134" w:rsidR="00DE57CD" w:rsidRDefault="00DE57CD">
          <w:pPr>
            <w:pStyle w:val="Sadraj1"/>
            <w:rPr>
              <w:rFonts w:asciiTheme="minorHAnsi" w:eastAsiaTheme="minorEastAsia" w:hAnsiTheme="minorHAnsi" w:cstheme="minorBidi"/>
              <w:b w:val="0"/>
              <w:bCs w:val="0"/>
              <w:caps w:val="0"/>
              <w:color w:val="auto"/>
              <w:kern w:val="2"/>
              <w:lang w:val="en-GB" w:eastAsia="en-GB"/>
              <w14:ligatures w14:val="standardContextual"/>
            </w:rPr>
          </w:pPr>
          <w:hyperlink w:anchor="_Toc195959693" w:history="1">
            <w:r w:rsidRPr="00F92D9A">
              <w:rPr>
                <w:rStyle w:val="Hiperveza"/>
              </w:rPr>
              <w:t>§ 5.</w:t>
            </w:r>
            <w:r>
              <w:rPr>
                <w:rFonts w:asciiTheme="minorHAnsi" w:eastAsiaTheme="minorEastAsia" w:hAnsiTheme="minorHAnsi" w:cstheme="minorBidi"/>
                <w:b w:val="0"/>
                <w:bCs w:val="0"/>
                <w:caps w:val="0"/>
                <w:color w:val="auto"/>
                <w:kern w:val="2"/>
                <w:lang w:val="en-GB" w:eastAsia="en-GB"/>
                <w14:ligatures w14:val="standardContextual"/>
              </w:rPr>
              <w:tab/>
            </w:r>
            <w:r w:rsidRPr="00F92D9A">
              <w:rPr>
                <w:rStyle w:val="Hiperveza"/>
              </w:rPr>
              <w:t>LITERATURNI IZVORI</w:t>
            </w:r>
            <w:r>
              <w:rPr>
                <w:webHidden/>
              </w:rPr>
              <w:tab/>
            </w:r>
            <w:r>
              <w:rPr>
                <w:webHidden/>
              </w:rPr>
              <w:fldChar w:fldCharType="begin"/>
            </w:r>
            <w:r>
              <w:rPr>
                <w:webHidden/>
              </w:rPr>
              <w:instrText xml:space="preserve"> PAGEREF _Toc195959693 \h </w:instrText>
            </w:r>
            <w:r>
              <w:rPr>
                <w:webHidden/>
              </w:rPr>
            </w:r>
            <w:r>
              <w:rPr>
                <w:webHidden/>
              </w:rPr>
              <w:fldChar w:fldCharType="separate"/>
            </w:r>
            <w:r>
              <w:rPr>
                <w:webHidden/>
              </w:rPr>
              <w:t>xxv</w:t>
            </w:r>
            <w:r>
              <w:rPr>
                <w:webHidden/>
              </w:rPr>
              <w:fldChar w:fldCharType="end"/>
            </w:r>
          </w:hyperlink>
        </w:p>
        <w:p w14:paraId="5B157B10" w14:textId="26547CEF" w:rsidR="00171E1F" w:rsidRPr="00BB33A1" w:rsidRDefault="00171E1F">
          <w:pPr>
            <w:rPr>
              <w:lang w:val="hr-HR"/>
            </w:rPr>
          </w:pPr>
          <w:r w:rsidRPr="00BB33A1">
            <w:rPr>
              <w:b/>
              <w:bCs/>
              <w:lang w:val="hr-HR"/>
            </w:rPr>
            <w:fldChar w:fldCharType="end"/>
          </w:r>
        </w:p>
      </w:sdtContent>
    </w:sdt>
    <w:p w14:paraId="757F79A3" w14:textId="4D03C0A2" w:rsidR="00424536" w:rsidRPr="00BB33A1" w:rsidRDefault="00424536" w:rsidP="00D7721A">
      <w:pPr>
        <w:pStyle w:val="OCJENSKIRADOVIFontParagraph"/>
        <w:tabs>
          <w:tab w:val="left" w:pos="567"/>
          <w:tab w:val="right" w:leader="dot" w:pos="9072"/>
        </w:tabs>
        <w:spacing w:before="120"/>
        <w:outlineLvl w:val="0"/>
        <w:rPr>
          <w:rStyle w:val="OCJENSKIRADOVIFontCharacter"/>
          <w:b/>
          <w:bCs/>
          <w:caps/>
          <w:color w:val="003399"/>
        </w:rPr>
      </w:pPr>
    </w:p>
    <w:p w14:paraId="2AA4B0BD" w14:textId="77777777" w:rsidR="00424536" w:rsidRPr="00BB33A1" w:rsidRDefault="00424536" w:rsidP="0055198C">
      <w:pPr>
        <w:pStyle w:val="OCJENSKIRADOVIFontParagraph"/>
      </w:pPr>
    </w:p>
    <w:p w14:paraId="0B1D1A7B" w14:textId="6C4EDC14" w:rsidR="00424536" w:rsidRPr="00BB33A1" w:rsidRDefault="007C3D4D" w:rsidP="003C13A3">
      <w:pPr>
        <w:rPr>
          <w:lang w:val="hr-HR"/>
        </w:rPr>
      </w:pP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p>
    <w:p w14:paraId="6281439F" w14:textId="77777777" w:rsidR="007C3D4D" w:rsidRPr="00BB33A1" w:rsidRDefault="007C3D4D" w:rsidP="003C13A3">
      <w:pPr>
        <w:rPr>
          <w:lang w:val="hr-HR"/>
        </w:rPr>
      </w:pPr>
    </w:p>
    <w:p w14:paraId="30F041E1" w14:textId="7AF72D8C" w:rsidR="007C3D4D" w:rsidRPr="00BB33A1" w:rsidRDefault="007C3D4D" w:rsidP="003C13A3">
      <w:pPr>
        <w:rPr>
          <w:lang w:val="hr-HR"/>
        </w:rPr>
      </w:pP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r w:rsidRPr="00BB33A1">
        <w:rPr>
          <w:lang w:val="hr-HR"/>
        </w:rPr>
        <w:tab/>
      </w:r>
    </w:p>
    <w:p w14:paraId="0C1C22AB" w14:textId="77777777" w:rsidR="007C3D4D" w:rsidRPr="00BB33A1" w:rsidRDefault="007C3D4D" w:rsidP="003C13A3">
      <w:pPr>
        <w:rPr>
          <w:lang w:val="hr-HR"/>
        </w:rPr>
      </w:pPr>
    </w:p>
    <w:p w14:paraId="34FFF0C5" w14:textId="77777777" w:rsidR="00424536" w:rsidRPr="00BB33A1" w:rsidRDefault="00424536" w:rsidP="005F494D">
      <w:pPr>
        <w:pStyle w:val="OCJENSKIRADOVIOdlomak3NASTAVAKODLOMKA"/>
        <w:jc w:val="left"/>
        <w:sectPr w:rsidR="00424536" w:rsidRPr="00BB33A1" w:rsidSect="00CF6BB4">
          <w:headerReference w:type="default" r:id="rId9"/>
          <w:footerReference w:type="default" r:id="rId10"/>
          <w:pgSz w:w="11907" w:h="16840" w:code="9"/>
          <w:pgMar w:top="1701" w:right="1418" w:bottom="1701" w:left="1418" w:header="1134" w:footer="1134" w:gutter="0"/>
          <w:pgNumType w:fmt="lowerRoman"/>
          <w:cols w:space="708"/>
          <w:docGrid w:linePitch="360"/>
        </w:sectPr>
      </w:pPr>
    </w:p>
    <w:p w14:paraId="59C48BCF" w14:textId="2DEDF5FE" w:rsidR="00424536" w:rsidRPr="00BB33A1" w:rsidRDefault="00424536" w:rsidP="0044240A">
      <w:pPr>
        <w:pStyle w:val="OCJENSKIRADOVI1Naslovpoglavlja"/>
      </w:pPr>
      <w:bookmarkStart w:id="1" w:name="_Toc256085210"/>
      <w:bookmarkStart w:id="2" w:name="_Toc355955749"/>
      <w:bookmarkStart w:id="3" w:name="_Toc195959676"/>
      <w:r w:rsidRPr="00BB33A1">
        <w:lastRenderedPageBreak/>
        <w:t>UVOD</w:t>
      </w:r>
      <w:bookmarkEnd w:id="1"/>
      <w:bookmarkEnd w:id="2"/>
      <w:bookmarkEnd w:id="3"/>
    </w:p>
    <w:p w14:paraId="4C715FFC" w14:textId="38FC1DB7" w:rsidR="00D4464E" w:rsidRPr="0034052B" w:rsidRDefault="00D4464E" w:rsidP="00D4464E">
      <w:pPr>
        <w:pStyle w:val="OCJENSKIRADOVIOdlomak3NASTAVAKODLOMKA"/>
        <w:rPr>
          <w:vertAlign w:val="superscript"/>
        </w:rPr>
      </w:pPr>
      <w:r w:rsidRPr="00D4464E">
        <w:t xml:space="preserve">Ciklodekstrini (CD) su ciklički oligosaharidi </w:t>
      </w:r>
      <w:r w:rsidR="00352742">
        <w:t>građeni od</w:t>
      </w:r>
      <w:r w:rsidRPr="00D4464E">
        <w:t xml:space="preserve"> glukopiranoznih jedinica povezanih α-1,4-glikozidnim vezama, a svojom strukturom nalikuju krnjem stošcu s</w:t>
      </w:r>
      <w:r w:rsidR="004E3EAC">
        <w:t xml:space="preserve"> </w:t>
      </w:r>
      <w:r w:rsidRPr="00D4464E">
        <w:t>hidrofobnom šupljinom. Ova struktura omogućuje formiranje inkluzijskih kompleksa s raznim molekulama gosta putem nekovalentnih interakcija, najčešće u središnjoj šupljini molekule CD-a. Takva sposobnost dovela je do široke primjene ciklodekstrina u brojnim industrijam</w:t>
      </w:r>
      <w:r w:rsidR="004E3EAC">
        <w:t xml:space="preserve">a (npr. </w:t>
      </w:r>
      <w:r w:rsidRPr="00D4464E">
        <w:t>farmaceutske</w:t>
      </w:r>
      <w:r w:rsidR="004E3EAC">
        <w:t xml:space="preserve">, </w:t>
      </w:r>
      <w:r w:rsidRPr="00D4464E">
        <w:t>prehrambene,</w:t>
      </w:r>
      <w:r w:rsidR="004E3EAC">
        <w:t xml:space="preserve"> </w:t>
      </w:r>
      <w:r w:rsidRPr="00D4464E">
        <w:t>kozmetičke,</w:t>
      </w:r>
      <w:r w:rsidR="004E3EAC">
        <w:t xml:space="preserve"> </w:t>
      </w:r>
      <w:r w:rsidRPr="00D4464E">
        <w:t>tekstilne i ekološke</w:t>
      </w:r>
      <w:r w:rsidR="004E3EAC">
        <w:t xml:space="preserve">) </w:t>
      </w:r>
      <w:r w:rsidRPr="00D4464E">
        <w:t>u svrhu poboljšanja topljivosti, stabilnosti, bioraspoloživosti i kontrole otpuštanja različitih aktivnih tvari.</w:t>
      </w:r>
      <w:r w:rsidR="004E3EAC">
        <w:t xml:space="preserve"> </w:t>
      </w:r>
      <w:r w:rsidR="001D3FF3" w:rsidRPr="001D3FF3">
        <w:t>Zbog njihove biorazgradivosti, biokompatibilnosti i svestranosti, ciklodekstrini i materijali temeljeni na njima pronalaze sve širu primjenu u novim područjima.</w:t>
      </w:r>
      <w:r w:rsidR="001D3FF3">
        <w:t xml:space="preserve"> </w:t>
      </w:r>
      <w:r w:rsidRPr="001D3FF3">
        <w:t xml:space="preserve">Iako se inkluzijski kompleksi CD-a mogu proučavati </w:t>
      </w:r>
      <w:r w:rsidR="00D43351" w:rsidRPr="001D3FF3">
        <w:t>raznim</w:t>
      </w:r>
      <w:r w:rsidRPr="001D3FF3">
        <w:t xml:space="preserve"> metodama, spektroskopija nuklearne magnetske rezo</w:t>
      </w:r>
      <w:r w:rsidRPr="00D4464E">
        <w:t xml:space="preserve">nancije u čvrstom stanju (ssNMR) nudi jedinstvene prednosti. </w:t>
      </w:r>
      <w:r w:rsidR="0067480B">
        <w:t>Primjerice, p</w:t>
      </w:r>
      <w:r w:rsidR="009512D8">
        <w:t>rimjenom ssNMR spektroskopije moguće je detaljno definirati unutarnju strukturu, proces kompleksiranja</w:t>
      </w:r>
      <w:r w:rsidR="0067480B">
        <w:t xml:space="preserve"> te molarni omjer između ciklodekstrina i molekule gosta.</w:t>
      </w:r>
      <w:r w:rsidR="0034052B">
        <w:rPr>
          <w:vertAlign w:val="superscript"/>
        </w:rPr>
        <w:t>1</w:t>
      </w:r>
      <w:r w:rsidR="0067480B">
        <w:t xml:space="preserve"> </w:t>
      </w:r>
      <w:r w:rsidRPr="00D4464E">
        <w:t>Za razliku od NMR spektroskopije u otopini, ssNMR omogućuje analizu uzoraka bez potrebe za otapanjem, što je posebno važno za amorfne, polikristalne i kristalne uzorke. U tom kontekstu, ssNMR je postala neizostavna metoda za analizu materijala kod kojih je kristalna struktura teško dostupna ili nerazlučiva drugim metodama.</w:t>
      </w:r>
      <w:r w:rsidR="0034052B">
        <w:rPr>
          <w:vertAlign w:val="superscript"/>
        </w:rPr>
        <w:t>2</w:t>
      </w:r>
    </w:p>
    <w:p w14:paraId="1668B70A" w14:textId="3B0CD491" w:rsidR="00424536" w:rsidRPr="0034052B" w:rsidRDefault="007D6993" w:rsidP="000C5EBD">
      <w:pPr>
        <w:pStyle w:val="OCJENSKIRADOVIOdlomak3NASTAVAKODLOMKA"/>
        <w:ind w:firstLine="720"/>
        <w:rPr>
          <w:vertAlign w:val="superscript"/>
        </w:rPr>
      </w:pPr>
      <w:r>
        <w:t>Prikazano</w:t>
      </w:r>
      <w:r w:rsidR="000F2538">
        <w:t xml:space="preserve"> je </w:t>
      </w:r>
      <w:r w:rsidR="00D4464E" w:rsidRPr="00D4464E">
        <w:t xml:space="preserve">kako se ssNMR spektroskopija koristi za analizu ciklodekstrinskih sustava, s posebnim naglaskom na supramolekulske interakcije i karakterizaciju inkluzijskih kompleksa. Fokus je stavljen na primjenu ssNMR-a u farmaceutskim sustavima, sustavima za uklanjanje zagađivala, funkcionalnim nanospužvama te različitim derivatima i funkcionalizacijama CD-a. </w:t>
      </w:r>
      <w:r w:rsidR="000F2538">
        <w:t>Uz</w:t>
      </w:r>
      <w:r w:rsidR="00D4464E" w:rsidRPr="00D4464E">
        <w:t xml:space="preserve"> pregled najčešće korištenih eksperimentalnih pristupa (npr. CP-MAS, DP, VCT, relaksacijska mjerenja i 2D korelacijske tehnike),</w:t>
      </w:r>
      <w:r w:rsidR="000F2538">
        <w:t xml:space="preserve"> </w:t>
      </w:r>
      <w:r w:rsidR="00D4464E" w:rsidRPr="00D4464E">
        <w:t xml:space="preserve">također </w:t>
      </w:r>
      <w:r w:rsidR="000F2538">
        <w:t xml:space="preserve">su naglašene </w:t>
      </w:r>
      <w:r w:rsidR="00D4464E" w:rsidRPr="00D4464E">
        <w:t>mogućnosti, prednosti i ograničenja ove tehnike, kao i ulog</w:t>
      </w:r>
      <w:r w:rsidR="000F2538">
        <w:t>a</w:t>
      </w:r>
      <w:r w:rsidR="00D4464E" w:rsidRPr="00D4464E">
        <w:t xml:space="preserve"> ssNMR-a u razumijevanju molekulske dinamike i stabilnosti kompleksa</w:t>
      </w:r>
      <w:r w:rsidR="000C5EBD">
        <w:t>.</w:t>
      </w:r>
      <w:r w:rsidR="0034052B">
        <w:rPr>
          <w:vertAlign w:val="superscript"/>
        </w:rPr>
        <w:t>1</w:t>
      </w:r>
    </w:p>
    <w:p w14:paraId="493A16A7" w14:textId="609A3178" w:rsidR="000C5EBD" w:rsidRPr="00BB33A1" w:rsidRDefault="000C5EBD" w:rsidP="000C5EBD">
      <w:pPr>
        <w:pStyle w:val="OCJENSKIRADOVIOdlomak3NASTAVAKODLOMKA"/>
        <w:ind w:firstLine="720"/>
        <w:sectPr w:rsidR="000C5EBD" w:rsidRPr="00BB33A1" w:rsidSect="00CF6BB4">
          <w:headerReference w:type="default" r:id="rId11"/>
          <w:footerReference w:type="default" r:id="rId12"/>
          <w:pgSz w:w="11907" w:h="16840" w:code="9"/>
          <w:pgMar w:top="1701" w:right="1418" w:bottom="1701" w:left="1418" w:header="1134" w:footer="1134" w:gutter="0"/>
          <w:pgNumType w:start="1"/>
          <w:cols w:space="708"/>
          <w:docGrid w:linePitch="360"/>
        </w:sectPr>
      </w:pPr>
    </w:p>
    <w:p w14:paraId="5483D092" w14:textId="7EE4AE8C" w:rsidR="00424536" w:rsidRPr="00BB33A1" w:rsidRDefault="006427E6" w:rsidP="00070565">
      <w:pPr>
        <w:pStyle w:val="OCJENSKIRADOVI1Naslovpoglavlja"/>
      </w:pPr>
      <w:bookmarkStart w:id="4" w:name="_Toc195959677"/>
      <w:r w:rsidRPr="00BB33A1">
        <w:lastRenderedPageBreak/>
        <w:t>Prikaz odabrane teme</w:t>
      </w:r>
      <w:bookmarkEnd w:id="4"/>
    </w:p>
    <w:p w14:paraId="5FE54AF4" w14:textId="32B2223E" w:rsidR="00424536" w:rsidRPr="00BB33A1" w:rsidRDefault="005C06FC" w:rsidP="00845612">
      <w:pPr>
        <w:pStyle w:val="OCJENSKIRADOVI2Podnaslovpoglavlja"/>
      </w:pPr>
      <w:bookmarkStart w:id="5" w:name="_Toc195959678"/>
      <w:r w:rsidRPr="00BB33A1">
        <w:t>Ciklodekstrini</w:t>
      </w:r>
      <w:bookmarkEnd w:id="5"/>
    </w:p>
    <w:p w14:paraId="5ECE0BE5" w14:textId="04AE2205" w:rsidR="00FF6E81" w:rsidRPr="00BB33A1" w:rsidRDefault="00D13925" w:rsidP="00B027C5">
      <w:pPr>
        <w:pStyle w:val="OCJENSKIRADOVIOdlomak3NASTAVAKODLOMKA"/>
      </w:pPr>
      <w:r w:rsidRPr="00BB33A1">
        <w:t xml:space="preserve">Ciklodekstrini </w:t>
      </w:r>
      <w:r w:rsidR="00FF6E81" w:rsidRPr="00BB33A1">
        <w:t xml:space="preserve">(CD) </w:t>
      </w:r>
      <w:r w:rsidRPr="00BB33A1">
        <w:t xml:space="preserve">su ciklički oligosaharidi građeni od glukopiranoznih jedinica međusobno povezanih α-1,4-glikozidnom vezom. </w:t>
      </w:r>
      <w:r w:rsidR="00841C36" w:rsidRPr="00BB33A1">
        <w:t>Nastaju prirodnom enzimskom razgradnjom škroba</w:t>
      </w:r>
      <w:r w:rsidR="00DE1829" w:rsidRPr="00BB33A1">
        <w:t xml:space="preserve"> </w:t>
      </w:r>
      <w:r w:rsidR="00841C36" w:rsidRPr="00BB33A1">
        <w:t>djelovanjem ciklodekstrin</w:t>
      </w:r>
      <w:r w:rsidR="00E25F6D" w:rsidRPr="00BB33A1">
        <w:t>-</w:t>
      </w:r>
      <w:r w:rsidR="00841C36" w:rsidRPr="00BB33A1">
        <w:t>gl</w:t>
      </w:r>
      <w:r w:rsidR="00E25F6D" w:rsidRPr="00BB33A1">
        <w:t>i</w:t>
      </w:r>
      <w:r w:rsidR="00841C36" w:rsidRPr="00BB33A1">
        <w:t>k</w:t>
      </w:r>
      <w:r w:rsidR="00E25F6D" w:rsidRPr="00BB33A1">
        <w:t>oziltransferaza</w:t>
      </w:r>
      <w:r w:rsidR="00841C36" w:rsidRPr="00BB33A1">
        <w:t xml:space="preserve"> (CGTaza)</w:t>
      </w:r>
      <w:r w:rsidR="00DE1829" w:rsidRPr="00BB33A1">
        <w:t>, pri čemu su n</w:t>
      </w:r>
      <w:r w:rsidR="00680276" w:rsidRPr="00BB33A1">
        <w:t>ajzastupljeniji</w:t>
      </w:r>
      <w:r w:rsidRPr="00BB33A1">
        <w:t xml:space="preserve"> oni sa šest (α-ciklodekstrini), sedam (β-ciklodekstrini) i osam (γ-ciklodekstrini) glukopiranoznih jedinica</w:t>
      </w:r>
      <w:r w:rsidR="00DE1829" w:rsidRPr="00BB33A1">
        <w:t xml:space="preserve">. </w:t>
      </w:r>
      <w:r w:rsidR="00DF105A" w:rsidRPr="00BB33A1">
        <w:t>Struktura ciklodekstrina podsjeća na krnji stožac sa središnjom šupljinom, pri čemu se primarne hidroksilne skupine nalaze na užem, a sekundarne hidroksilne skupine na širem obodu molekule (slika 1).</w:t>
      </w:r>
      <w:r w:rsidR="00B60DE2" w:rsidRPr="00BB33A1">
        <w:rPr>
          <w:vertAlign w:val="superscript"/>
        </w:rPr>
        <w:t>1</w:t>
      </w:r>
      <w:r w:rsidR="00DA5A83">
        <w:rPr>
          <w:vertAlign w:val="superscript"/>
        </w:rPr>
        <w:t>,3</w:t>
      </w:r>
      <w:r w:rsidR="00DA5A83" w:rsidRPr="001D2D60">
        <w:rPr>
          <w:vertAlign w:val="superscript"/>
        </w:rPr>
        <w:t>–</w:t>
      </w:r>
      <w:r w:rsidR="00DA5A83">
        <w:rPr>
          <w:vertAlign w:val="superscript"/>
        </w:rPr>
        <w:t>5</w:t>
      </w:r>
      <w:r w:rsidR="00B60DE2" w:rsidRPr="00BB33A1">
        <w:fldChar w:fldCharType="begin"/>
      </w:r>
      <w:r w:rsidR="00B60DE2" w:rsidRPr="00BB33A1">
        <w:instrText xml:space="preserve"> ADDIN ZOTERO_ITEM CSL_CITATION {"citationID":"PaftiB0U","properties":{"formattedCitation":"[1], [2], [3]","plainCitation":"[1], [2], [3]","noteIndex":0},"citationItems":[{"id":310,"uris":["http://zotero.org/users/15434692/items/DIGQ3BXD"],"itemData":{"id":310,"type":"article-journal","abstract":"Cyclodextrins, cyclic oligosaccharides composed of ﬁve or more α-D-glucopyranoside units linked by α-1,4 glycosidic bonds, are widely used both in their native forms as well as the components of more sophisticated materials. Over the last 30 years, solid-state nuclear magnetic resonance (ssNMR) has been used to characterize cyclodextrins (CDs) and CD-including systems, such as host–guest complexes or even more sophisticated macromolecules. In this review, the examples of such studies have been gathered and discussed. Due to the variety of possible ssNMR experiments, the most common approaches have been presented to provide the overview of the strategies employed to characterize those useful materials.","container-title":"International Journal of Molecular Sciences","DOI":"10.3390/ijms24043648","ISSN":"1422-0067","issue":"4","journalAbbreviation":"IJMS","language":"en","license":"https://creativecommons.org/licenses/by/4.0/","page":"3648","source":"DOI.org (Crossref)","title":"A Review of Applications of Solid-State Nuclear Magnetic Resonance (ssNMR) for the Analysis of Cyclodextrin-Including Systems","volume":"24","author":[{"family":"Mazurek","given":"Anna Helena"},{"family":"Szeleszczuk","given":"Łukasz"}],"issued":{"date-parts":[["2023",2,11]]}}},{"id":409,"uris":["http://zotero.org/users/15434692/items/DB7AYNAW"],"itemData":{"id":409,"type":"article-journal","container-title":"Advanced Drug Delivery Reviews","DOI":"10.1016/j.addr.2013.05.001","ISSN":"0169409X","issue":"9","journalAbbreviation":"Advanced Drug Delivery Reviews","language":"en","page":"1215-1233","source":"DOI.org (Crossref)","title":"Cyclodextrin-based supramolecular systems for drug delivery: Recent progress and future perspective","title-short":"Cyclodextrin-based supramolecular systems for drug delivery","volume":"65","author":[{"family":"Zhang","given":"Jianxiang"},{"family":"Ma","given":"Peter X."}],"issued":{"date-parts":[["2013",8]]}}},{"id":30,"uris":["http://zotero.org/users/15434692/items/4LYVPWPU"],"itemData":{"id":30,"type":"article-journal","abstract":"Cyclodextrins are a family of cyclic oligosaccharides composed of  -(1,4) linked glucopyranose subunits. Cyclodextrins are useful molecular chelating agents. They possess a cage-like supramolecular structure, which is the same as the structures formed from cryptands, calixarenes, cyclophanes, spherands and crown ethers. These compounds having supramolecular structures carry out chemical reactions that involve intramolecular interactions where covalent bonds are not formed between interacting molecules, ions or radicals. The majority of all these reactions are of ‘host–guest’ type. Compared to all the supramolecular hosts mentioned above, cyclodextrins are most important. Because of their inclusion complex forming capability, the properties of the materials with which they complex can be modiﬁed signiﬁcantly. As a result of molecular complexation phenomena CDs are widely used in many industrial products, technologies and analytical methods. The negligible cytotoxic effects of CDs are an important attribute in applications such as rug carrier, food and ﬂavours, cosmetics, packing, textiles, separation processes, environment protection, fermentation and catalysis.","container-title":"Process Biochemistry","DOI":"10.1016/S0032-9592(03)00258-9","ISSN":"13595113","issue":"9","journalAbbreviation":"Process Biochemistry","language":"en","license":"https://www.elsevier.com/tdm/userlicense/1.0/","page":"1033-1046","source":"DOI.org (Crossref)","title":"Cyclodextrins and their uses: a review","title-short":"Cyclodextrins and their uses","volume":"39","author":[{"family":"Del Valle","given":"E.M.Martin"}],"issued":{"date-parts":[["2004",5]]}}}],"schema":"https://github.com/citation-style-language/schema/raw/master/csl-citation.json"} </w:instrText>
      </w:r>
      <w:r w:rsidR="00B60DE2" w:rsidRPr="00BB33A1">
        <w:fldChar w:fldCharType="end"/>
      </w:r>
    </w:p>
    <w:p w14:paraId="2BAC66B4" w14:textId="33DE75FC" w:rsidR="00424536" w:rsidRPr="00BB33A1" w:rsidRDefault="004D3BE8" w:rsidP="00DF105A">
      <w:pPr>
        <w:pStyle w:val="OCJENSKIRADOVIOdlomak3NASTAVAKODLOMKA"/>
      </w:pPr>
      <w:bookmarkStart w:id="6" w:name="_Toc256085216"/>
      <w:r w:rsidRPr="00BB33A1">
        <w:rPr>
          <w:noProof/>
        </w:rPr>
        <w:drawing>
          <wp:inline distT="0" distB="0" distL="0" distR="0" wp14:anchorId="637ADD35" wp14:editId="3371E802">
            <wp:extent cx="5755005" cy="2097405"/>
            <wp:effectExtent l="0" t="0" r="0" b="0"/>
            <wp:docPr id="7282488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005" cy="2097405"/>
                    </a:xfrm>
                    <a:prstGeom prst="rect">
                      <a:avLst/>
                    </a:prstGeom>
                    <a:noFill/>
                  </pic:spPr>
                </pic:pic>
              </a:graphicData>
            </a:graphic>
          </wp:inline>
        </w:drawing>
      </w:r>
    </w:p>
    <w:p w14:paraId="093E7045" w14:textId="4B119CDE" w:rsidR="00D42889" w:rsidRPr="00BB33A1" w:rsidRDefault="004D3BE8" w:rsidP="00D42889">
      <w:pPr>
        <w:pStyle w:val="OCJENSKIRADOVIOdlomak3NASTAVAKODLOMKA"/>
        <w:jc w:val="center"/>
      </w:pPr>
      <w:r w:rsidRPr="00BB33A1">
        <w:t>Slika 1. Strukture i dimenzije α, β i γ-ciklodekstrina (preuzeto i prilagođeno prema</w:t>
      </w:r>
      <w:r w:rsidR="00FE3101">
        <w:rPr>
          <w:vertAlign w:val="superscript"/>
        </w:rPr>
        <w:t>4</w:t>
      </w:r>
      <w:r w:rsidRPr="00BB33A1">
        <w:t>).</w:t>
      </w:r>
    </w:p>
    <w:p w14:paraId="10FC3F13" w14:textId="77777777" w:rsidR="00D42889" w:rsidRPr="00BB33A1" w:rsidRDefault="00D42889" w:rsidP="00D42889">
      <w:pPr>
        <w:pStyle w:val="OCJENSKIRADOVIOdlomak3NASTAVAKODLOMKA"/>
      </w:pPr>
    </w:p>
    <w:p w14:paraId="13724229" w14:textId="1F15E7FE" w:rsidR="000138E0" w:rsidRPr="00BB33A1" w:rsidRDefault="00D42889" w:rsidP="00D42889">
      <w:pPr>
        <w:pStyle w:val="OCJENSKIRADOVIOdlomak3NASTAVAKODLOMKA"/>
        <w:rPr>
          <w:vertAlign w:val="superscript"/>
        </w:rPr>
      </w:pPr>
      <w:r w:rsidRPr="00BB33A1">
        <w:t xml:space="preserve">Zahvaljujući takvoj strukturi ciklodekstrini imaju hidrofilni vanjski dio topljiv u vodi te hidrofobni </w:t>
      </w:r>
      <w:r w:rsidR="006E1469" w:rsidRPr="00BB33A1">
        <w:t xml:space="preserve">(lipofilni) </w:t>
      </w:r>
      <w:r w:rsidRPr="00BB33A1">
        <w:t>unutrašnji dio, što im omogućuje stvaranje</w:t>
      </w:r>
      <w:r w:rsidR="00DC7920" w:rsidRPr="00BB33A1">
        <w:t xml:space="preserve"> </w:t>
      </w:r>
      <w:r w:rsidRPr="00BB33A1">
        <w:t>''</w:t>
      </w:r>
      <w:r w:rsidR="002D2287" w:rsidRPr="00BB33A1">
        <w:t>domaćin</w:t>
      </w:r>
      <w:r w:rsidR="001E10F9" w:rsidRPr="00BB33A1">
        <w:t>:</w:t>
      </w:r>
      <w:r w:rsidR="002D2287" w:rsidRPr="00BB33A1">
        <w:t>gost</w:t>
      </w:r>
      <w:r w:rsidRPr="00BB33A1">
        <w:t>''</w:t>
      </w:r>
      <w:r w:rsidR="00DC7920" w:rsidRPr="00BB33A1">
        <w:t xml:space="preserve"> odnosa sa širokim rasponom drugih molekula, kao i sudjelovanje u stvaranju složenijih makromolekula.</w:t>
      </w:r>
      <w:r w:rsidR="00CC7642" w:rsidRPr="00BB33A1">
        <w:rPr>
          <w:vertAlign w:val="superscript"/>
        </w:rPr>
        <w:t>1</w:t>
      </w:r>
      <w:r w:rsidR="00316B03">
        <w:rPr>
          <w:vertAlign w:val="superscript"/>
        </w:rPr>
        <w:t>,3</w:t>
      </w:r>
      <w:r w:rsidR="00316B03" w:rsidRPr="001D2D60">
        <w:rPr>
          <w:vertAlign w:val="superscript"/>
        </w:rPr>
        <w:t>–</w:t>
      </w:r>
      <w:r w:rsidR="00316B03">
        <w:rPr>
          <w:vertAlign w:val="superscript"/>
        </w:rPr>
        <w:t>5</w:t>
      </w:r>
      <w:r w:rsidR="00CC7642" w:rsidRPr="00BB33A1">
        <w:t xml:space="preserve"> </w:t>
      </w:r>
      <w:r w:rsidR="000138E0" w:rsidRPr="00BB33A1">
        <w:t xml:space="preserve">Broj glukopiranoznih jedinica određuje unutarnji promjer središnje šupljine i njezin volumen, a središnja šupljina β-ciklodekstrina je pogodna za kompleksiranje aromata i heterocikličkih spojeva, zbog čega su oni najkorišteniji. U usporedbi s α i γ-ciklodekstrinima, β-ciklodekstrine karakterizira slabija topljivost u vodenom mediju zbog prisutnih sedam vodikovih veza </w:t>
      </w:r>
      <w:r w:rsidR="000836D4" w:rsidRPr="00BB33A1">
        <w:t>koje nastaju između C</w:t>
      </w:r>
      <w:r w:rsidR="000836D4" w:rsidRPr="00BB33A1">
        <w:rPr>
          <w:vertAlign w:val="subscript"/>
        </w:rPr>
        <w:t>2</w:t>
      </w:r>
      <w:r w:rsidR="000836D4" w:rsidRPr="00BB33A1">
        <w:t>-OH i C</w:t>
      </w:r>
      <w:r w:rsidR="000836D4" w:rsidRPr="00BB33A1">
        <w:rPr>
          <w:vertAlign w:val="subscript"/>
        </w:rPr>
        <w:t>3</w:t>
      </w:r>
      <w:r w:rsidR="000836D4" w:rsidRPr="00BB33A1">
        <w:t>-OH susjedne glukopiranozne jedinice.</w:t>
      </w:r>
      <w:r w:rsidR="00044509" w:rsidRPr="00BB33A1">
        <w:t xml:space="preserve"> Ograničena topljivost u vodenom mediju ograničava njihovu primjenu, ali su podložni derivatizaciji korištenjem različitih reagensa kako bi se dobili derivati poboljšane </w:t>
      </w:r>
      <w:r w:rsidR="00044509" w:rsidRPr="00BB33A1">
        <w:lastRenderedPageBreak/>
        <w:t>topljivosti. Sinteza derivata uključuje esterifikaciju, eterifikaciju ili aminaciju primarne ili sekundarne hidroksilne skupine. Kako bi se dobili homogeni derivati ciklodekstrina, bez smjese različitih izomera, nužna je primjena regioselektivnih reagensa, optimizacija reakcijskih uvjeta te odvajanje konačnih produkata. Ovisno o vrsti kemijske skupine, derivati ciklodekstrina razlikuju se u volumenu hidrofobne središnje šupljine, topljivosti, stabilnosti, enantioselektivnosti i interakciji s molekulom gosta.</w:t>
      </w:r>
      <w:r w:rsidR="0018408A">
        <w:rPr>
          <w:vertAlign w:val="superscript"/>
        </w:rPr>
        <w:t>3</w:t>
      </w:r>
      <w:r w:rsidR="00044509" w:rsidRPr="00BB33A1">
        <w:rPr>
          <w:vertAlign w:val="superscript"/>
        </w:rPr>
        <w:t>,</w:t>
      </w:r>
      <w:r w:rsidR="0018408A">
        <w:rPr>
          <w:vertAlign w:val="superscript"/>
        </w:rPr>
        <w:t>5</w:t>
      </w:r>
      <w:r w:rsidR="00B665DA" w:rsidRPr="00BB33A1">
        <w:t xml:space="preserve"> Oralna bioraspoloživost prirodnih ciklodekstrina i njihovih najčešće korištenih derivata općenito je manja od 4 % zbog njihove hidrofilnosti, velike molekulske mase, brojnih donorskih i akceptorskih mjesta za vodikove veze te osjetljivosti na bakterijsku razgradnju. Toksikološka istraživanja pokazala su da su ciklodekstrini uglavnom netoksični jer se ne apsorbiraju u gastrointestinalnom sustavu. Iznimka je nasumično metilirani derivat β-ciklodekstrina, čija je bioraspoloživost povećana (iznosi oko 12 %) zbog veće lipofilnosti i smanjenog broja donora vodikovih veza. Zbog potencijalne oralne toksičnosti, njegova primjena ograničena je isključivo na nazalne i topikalne formulacije.</w:t>
      </w:r>
      <w:r w:rsidR="0018408A">
        <w:rPr>
          <w:vertAlign w:val="superscript"/>
        </w:rPr>
        <w:t>3</w:t>
      </w:r>
      <w:r w:rsidR="00B665DA" w:rsidRPr="00BB33A1">
        <w:rPr>
          <w:vertAlign w:val="superscript"/>
        </w:rPr>
        <w:t>,</w:t>
      </w:r>
      <w:r w:rsidR="0018408A">
        <w:rPr>
          <w:vertAlign w:val="superscript"/>
        </w:rPr>
        <w:t>6</w:t>
      </w:r>
      <w:r w:rsidR="00B665DA" w:rsidRPr="00BB33A1">
        <w:rPr>
          <w:vertAlign w:val="superscript"/>
        </w:rPr>
        <w:t>,</w:t>
      </w:r>
      <w:r w:rsidR="0018408A">
        <w:rPr>
          <w:vertAlign w:val="superscript"/>
        </w:rPr>
        <w:t>7</w:t>
      </w:r>
    </w:p>
    <w:p w14:paraId="0382994C" w14:textId="08C2B668" w:rsidR="003E0660" w:rsidRPr="00BB33A1" w:rsidRDefault="0012610B" w:rsidP="00210E52">
      <w:pPr>
        <w:pStyle w:val="OCJENSKIRADOVIOdlomak3NASTAVAKODLOMKA"/>
        <w:ind w:firstLine="720"/>
      </w:pPr>
      <w:r w:rsidRPr="00BB33A1">
        <w:t>Kao što je ranije navedeno, ciklodekstrini mogu tvoriti inkluzijske komplekse s različitim molekulama u čvrstom, tekućem i plinovitom stanju. Kako bi se stvorio inkluzijski kompleks samo dio molekule mora ući u središnju šupljinu</w:t>
      </w:r>
      <w:r w:rsidR="00AA02A8" w:rsidRPr="00BB33A1">
        <w:t xml:space="preserve">, odnosno jedna ili dvije molekule gosta mogu </w:t>
      </w:r>
      <w:r w:rsidR="00471F4E" w:rsidRPr="00BB33A1">
        <w:t>stvarati kompleks s</w:t>
      </w:r>
      <w:r w:rsidR="00AA02A8" w:rsidRPr="00BB33A1">
        <w:t xml:space="preserve"> jednom, dvjema ili </w:t>
      </w:r>
      <w:r w:rsidR="00471F4E" w:rsidRPr="00BB33A1">
        <w:t>više</w:t>
      </w:r>
      <w:r w:rsidR="00AA02A8" w:rsidRPr="00BB33A1">
        <w:t xml:space="preserve"> molekul</w:t>
      </w:r>
      <w:r w:rsidR="00471F4E" w:rsidRPr="00BB33A1">
        <w:t>a</w:t>
      </w:r>
      <w:r w:rsidR="00AA02A8" w:rsidRPr="00BB33A1">
        <w:t xml:space="preserve"> ciklodekstrina.</w:t>
      </w:r>
      <w:r w:rsidR="0082301D" w:rsidRPr="00BB33A1">
        <w:t xml:space="preserve"> Najčešći stehiometrijski omjer nastanka kompleksa gost:ciklodekstrin je 1:1.</w:t>
      </w:r>
      <w:r w:rsidR="0018408A">
        <w:rPr>
          <w:vertAlign w:val="superscript"/>
        </w:rPr>
        <w:t>7</w:t>
      </w:r>
      <w:r w:rsidR="005534BE" w:rsidRPr="00BB33A1">
        <w:rPr>
          <w:vertAlign w:val="superscript"/>
        </w:rPr>
        <w:t>,</w:t>
      </w:r>
      <w:r w:rsidR="0018408A">
        <w:rPr>
          <w:vertAlign w:val="superscript"/>
        </w:rPr>
        <w:t>8</w:t>
      </w:r>
    </w:p>
    <w:p w14:paraId="57BB609E" w14:textId="77777777" w:rsidR="003E0660" w:rsidRPr="00BB33A1" w:rsidRDefault="003E0660" w:rsidP="003E0660">
      <w:pPr>
        <w:pStyle w:val="OCJENSKIRADOVIOdlomak3NASTAVAKODLOMKA"/>
      </w:pPr>
    </w:p>
    <w:p w14:paraId="3E969BF9" w14:textId="5E264AC2" w:rsidR="003E0660" w:rsidRPr="00BB33A1" w:rsidRDefault="003E0660" w:rsidP="003E0660">
      <w:pPr>
        <w:pStyle w:val="OCJENSKIRADOVIOdlomak3NASTAVAKODLOMKA"/>
        <w:jc w:val="center"/>
      </w:pPr>
      <w:r w:rsidRPr="00BB33A1">
        <w:rPr>
          <w:noProof/>
        </w:rPr>
        <w:drawing>
          <wp:inline distT="0" distB="0" distL="0" distR="0" wp14:anchorId="53E46B42" wp14:editId="787BF2A1">
            <wp:extent cx="5419725" cy="1480185"/>
            <wp:effectExtent l="0" t="0" r="9525" b="5715"/>
            <wp:docPr id="3672130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864"/>
                    <a:stretch/>
                  </pic:blipFill>
                  <pic:spPr bwMode="auto">
                    <a:xfrm>
                      <a:off x="0" y="0"/>
                      <a:ext cx="5432852" cy="1483770"/>
                    </a:xfrm>
                    <a:prstGeom prst="rect">
                      <a:avLst/>
                    </a:prstGeom>
                    <a:noFill/>
                    <a:ln>
                      <a:noFill/>
                    </a:ln>
                    <a:extLst>
                      <a:ext uri="{53640926-AAD7-44D8-BBD7-CCE9431645EC}">
                        <a14:shadowObscured xmlns:a14="http://schemas.microsoft.com/office/drawing/2010/main"/>
                      </a:ext>
                    </a:extLst>
                  </pic:spPr>
                </pic:pic>
              </a:graphicData>
            </a:graphic>
          </wp:inline>
        </w:drawing>
      </w:r>
    </w:p>
    <w:p w14:paraId="01ACD5BC" w14:textId="108C5682" w:rsidR="003E0660" w:rsidRPr="00BB33A1" w:rsidRDefault="003E0660" w:rsidP="005534BE">
      <w:pPr>
        <w:pStyle w:val="OCJENSKIRADOVIOdlomak3NASTAVAKODLOMKA"/>
        <w:jc w:val="center"/>
      </w:pPr>
      <w:r w:rsidRPr="00BB33A1">
        <w:t>Slika 2. Shematski prikaz inkluzijskih kompleksa različitih stehiometrija</w:t>
      </w:r>
      <w:r w:rsidR="0018408A">
        <w:rPr>
          <w:vertAlign w:val="superscript"/>
        </w:rPr>
        <w:t>8</w:t>
      </w:r>
    </w:p>
    <w:p w14:paraId="460CB592" w14:textId="77777777" w:rsidR="005534BE" w:rsidRPr="00BB33A1" w:rsidRDefault="005534BE" w:rsidP="003E0660">
      <w:pPr>
        <w:pStyle w:val="OCJENSKIRADOVIOdlomak3NASTAVAKODLOMKA"/>
      </w:pPr>
    </w:p>
    <w:p w14:paraId="5146713B" w14:textId="0A8E682C" w:rsidR="00061ABF" w:rsidRPr="00BB33A1" w:rsidRDefault="00F301D8" w:rsidP="003E0660">
      <w:pPr>
        <w:pStyle w:val="OCJENSKIRADOVIOdlomak3NASTAVAKODLOMKA"/>
      </w:pPr>
      <w:r w:rsidRPr="00BB33A1">
        <w:t>Nastanak inkluzijskih kompleksa ne uključuje cijepanje ili stvaranje kovalentnih veza već se molekula gosta nalazi u dinamičkoj ravnoteži slobodnog i vezanog oblika. Smatra se da p</w:t>
      </w:r>
      <w:r w:rsidR="00AA02A8" w:rsidRPr="00BB33A1">
        <w:t>okretačka sila</w:t>
      </w:r>
      <w:r w:rsidRPr="00BB33A1">
        <w:t xml:space="preserve">, </w:t>
      </w:r>
      <w:r w:rsidR="00AA02A8" w:rsidRPr="00BB33A1">
        <w:t>potrebna za stvaranje</w:t>
      </w:r>
      <w:r w:rsidRPr="00BB33A1">
        <w:t xml:space="preserve"> inkluzijskih</w:t>
      </w:r>
      <w:r w:rsidR="00AA02A8" w:rsidRPr="00BB33A1">
        <w:t xml:space="preserve"> komplekasa</w:t>
      </w:r>
      <w:r w:rsidRPr="00BB33A1">
        <w:t xml:space="preserve">, </w:t>
      </w:r>
      <w:r w:rsidR="00AA02A8" w:rsidRPr="00BB33A1">
        <w:t xml:space="preserve">dolazi iz različitih izvora, npr. od otpuštanja molekula vode visoke entalpije iz </w:t>
      </w:r>
      <w:r w:rsidRPr="00BB33A1">
        <w:t>središnje</w:t>
      </w:r>
      <w:r w:rsidR="00AA02A8" w:rsidRPr="00BB33A1">
        <w:t xml:space="preserve"> šupljine, van der Waalsove </w:t>
      </w:r>
      <w:r w:rsidR="00AA02A8" w:rsidRPr="00BB33A1">
        <w:lastRenderedPageBreak/>
        <w:t>interakcije, vodikove veze, smanjenje napetosti ciklodekstrinskog prstena itd.</w:t>
      </w:r>
      <w:r w:rsidR="00363A9F" w:rsidRPr="00BB33A1">
        <w:t xml:space="preserve"> Međutim, da bi molekula gosta i ciklodekstrin formirali inkluzijski kompleks, potrebno je osigurati povoljnu steričnu okolinu i odgovarajuće termodinamičke interakcije.</w:t>
      </w:r>
      <w:r w:rsidR="004B3CF4" w:rsidRPr="00BB33A1">
        <w:t xml:space="preserve"> Cijeli proces nastajanja inkluzijskog kompleksa mora imati povoljan ukupan energijski učinak kako bi uopće došlo do uklapanja molekule gosta u središnju šupljinu CD.</w:t>
      </w:r>
      <w:r w:rsidR="00363A9F" w:rsidRPr="00BB33A1">
        <w:t xml:space="preserve"> Ukoliko molekula gosta ili neka njezina funkcionalna skupina nisu odgovarajuće veličine u odnosu na ciklodekstrin</w:t>
      </w:r>
      <w:r w:rsidR="00061ABF" w:rsidRPr="00BB33A1">
        <w:t>, inkluzijski kompleks neće nastati.</w:t>
      </w:r>
      <w:r w:rsidR="00EB233A" w:rsidRPr="00BB33A1">
        <w:rPr>
          <w:color w:val="000000"/>
          <w:sz w:val="23"/>
          <w:szCs w:val="23"/>
          <w:lang w:eastAsia="hr-HR"/>
        </w:rPr>
        <w:t xml:space="preserve"> </w:t>
      </w:r>
      <w:r w:rsidR="00EB233A" w:rsidRPr="00BB33A1">
        <w:t>Kada molekula gosta uđe u središnju šupljinu CD, ona prolazi kroz konformacijske prilagodbe kako bi maksimalno iskoristila slabe van der Waalsove sile</w:t>
      </w:r>
      <w:r w:rsidR="00D27D44" w:rsidRPr="00BB33A1">
        <w:t>. Također, dolazi do zamjene nepovoljnih polarno-nepolarno interakcija između molekula vode i središnje šupljine CD s povoljnijim nepolarno-nepolarno interakcijama inkluzijom hidrofobnog gosta, čime se smanjuje napetost CD prstena i dolazi do njegove stabilizacije</w:t>
      </w:r>
      <w:r w:rsidR="00EB233A" w:rsidRPr="00BB33A1">
        <w:t>.</w:t>
      </w:r>
      <w:r w:rsidR="0018408A">
        <w:rPr>
          <w:vertAlign w:val="superscript"/>
        </w:rPr>
        <w:t>3</w:t>
      </w:r>
      <w:r w:rsidR="00642964" w:rsidRPr="00BB33A1">
        <w:rPr>
          <w:vertAlign w:val="superscript"/>
        </w:rPr>
        <w:t>,</w:t>
      </w:r>
      <w:r w:rsidR="0018408A">
        <w:rPr>
          <w:vertAlign w:val="superscript"/>
        </w:rPr>
        <w:t>5</w:t>
      </w:r>
      <w:r w:rsidR="00D27D44" w:rsidRPr="00BB33A1">
        <w:rPr>
          <w:vertAlign w:val="superscript"/>
        </w:rPr>
        <w:t>,</w:t>
      </w:r>
      <w:r w:rsidR="0018408A">
        <w:rPr>
          <w:vertAlign w:val="superscript"/>
        </w:rPr>
        <w:t>9</w:t>
      </w:r>
    </w:p>
    <w:p w14:paraId="3797E895" w14:textId="50F1BD86" w:rsidR="00D42889" w:rsidRPr="00BB33A1" w:rsidRDefault="00E2508A" w:rsidP="00FF41CF">
      <w:pPr>
        <w:pStyle w:val="OCJENSKIRADOVIOdlomak3NASTAVAKODLOMKA"/>
        <w:ind w:firstLine="720"/>
        <w:rPr>
          <w:vertAlign w:val="superscript"/>
        </w:rPr>
      </w:pPr>
      <w:r w:rsidRPr="00BB33A1">
        <w:t>Uklapanje</w:t>
      </w:r>
      <w:r w:rsidR="00AA02A8" w:rsidRPr="00BB33A1">
        <w:t xml:space="preserve"> </w:t>
      </w:r>
      <w:r w:rsidR="00E46088" w:rsidRPr="00BB33A1">
        <w:t xml:space="preserve">velikog broja spojeva u čvrstom, tekućem ili plinovitom stanju </w:t>
      </w:r>
      <w:r w:rsidR="00AA02A8" w:rsidRPr="00BB33A1">
        <w:t xml:space="preserve">u </w:t>
      </w:r>
      <w:r w:rsidRPr="00BB33A1">
        <w:t>središnju</w:t>
      </w:r>
      <w:r w:rsidR="00AA02A8" w:rsidRPr="00BB33A1">
        <w:t xml:space="preserve"> šupljinu ciklodekstrina </w:t>
      </w:r>
      <w:r w:rsidRPr="00BB33A1">
        <w:t xml:space="preserve">može dovesti </w:t>
      </w:r>
      <w:r w:rsidR="00AA02A8" w:rsidRPr="00BB33A1">
        <w:t>do povoljnih fizikalno-kemijskih modifikacija koje inače nisu ostvarive</w:t>
      </w:r>
      <w:r w:rsidR="00E51BD8" w:rsidRPr="00BB33A1">
        <w:t xml:space="preserve">. </w:t>
      </w:r>
      <w:r w:rsidR="00FF41CF" w:rsidRPr="00BB33A1">
        <w:t>To korisno svojstvo ciklodekstrina</w:t>
      </w:r>
      <w:r w:rsidR="00E51BD8" w:rsidRPr="00BB33A1">
        <w:t xml:space="preserve"> da se koris</w:t>
      </w:r>
      <w:r w:rsidR="005C235D" w:rsidRPr="00BB33A1">
        <w:t>te</w:t>
      </w:r>
      <w:r w:rsidR="00E51BD8" w:rsidRPr="00BB33A1">
        <w:t xml:space="preserve"> kao pomoćn</w:t>
      </w:r>
      <w:r w:rsidR="005C235D" w:rsidRPr="00BB33A1">
        <w:t>e</w:t>
      </w:r>
      <w:r w:rsidR="00E51BD8" w:rsidRPr="00BB33A1">
        <w:t xml:space="preserve"> </w:t>
      </w:r>
      <w:r w:rsidR="00830270" w:rsidRPr="00BB33A1">
        <w:t>(</w:t>
      </w:r>
      <w:r w:rsidR="00E51BD8" w:rsidRPr="00BB33A1">
        <w:t>farmaceutsk</w:t>
      </w:r>
      <w:r w:rsidR="005C235D" w:rsidRPr="00BB33A1">
        <w:t>e</w:t>
      </w:r>
      <w:r w:rsidR="00830270" w:rsidRPr="00BB33A1">
        <w:t>)</w:t>
      </w:r>
      <w:r w:rsidR="00E51BD8" w:rsidRPr="00BB33A1">
        <w:t xml:space="preserve"> tva</w:t>
      </w:r>
      <w:r w:rsidR="005C235D" w:rsidRPr="00BB33A1">
        <w:t>ri</w:t>
      </w:r>
      <w:r w:rsidR="000A6E8A" w:rsidRPr="00BB33A1">
        <w:t xml:space="preserve"> </w:t>
      </w:r>
      <w:r w:rsidR="00FF41CF" w:rsidRPr="00BB33A1">
        <w:t>pronašlo</w:t>
      </w:r>
      <w:r w:rsidR="000A6E8A" w:rsidRPr="00BB33A1">
        <w:t xml:space="preserve"> je š</w:t>
      </w:r>
      <w:r w:rsidR="00FF41CF" w:rsidRPr="00BB33A1">
        <w:t>iroku primjenu u različitim područjima</w:t>
      </w:r>
      <w:r w:rsidR="000A6E8A" w:rsidRPr="00BB33A1">
        <w:t>, neke od kojih su obuhvaćene s primjerima u tablici 1</w:t>
      </w:r>
      <w:r w:rsidR="00FF41CF" w:rsidRPr="00BB33A1">
        <w:t>.</w:t>
      </w:r>
      <w:r w:rsidR="009F2821" w:rsidRPr="00BB33A1">
        <w:rPr>
          <w:vertAlign w:val="superscript"/>
        </w:rPr>
        <w:t>1</w:t>
      </w:r>
      <w:r w:rsidR="00240919" w:rsidRPr="00BB33A1">
        <w:rPr>
          <w:vertAlign w:val="superscript"/>
        </w:rPr>
        <w:t>,</w:t>
      </w:r>
      <w:r w:rsidR="0018408A">
        <w:rPr>
          <w:vertAlign w:val="superscript"/>
        </w:rPr>
        <w:t>3</w:t>
      </w:r>
    </w:p>
    <w:p w14:paraId="5CF34286" w14:textId="73698FFB" w:rsidR="002D53B9" w:rsidRDefault="002D53B9" w:rsidP="00D42889">
      <w:pPr>
        <w:pStyle w:val="OCJENSKIRADOVIOdlomak3NASTAVAKODLOMKA"/>
      </w:pPr>
    </w:p>
    <w:p w14:paraId="33C58419" w14:textId="3B698CEC" w:rsidR="00A4217A" w:rsidRDefault="00A4217A" w:rsidP="00D42889">
      <w:pPr>
        <w:pStyle w:val="OCJENSKIRADOVIOdlomak3NASTAVAKODLOMKA"/>
      </w:pPr>
    </w:p>
    <w:p w14:paraId="5B500B68" w14:textId="28D26E2C" w:rsidR="00A4217A" w:rsidRDefault="00A4217A" w:rsidP="00D42889">
      <w:pPr>
        <w:pStyle w:val="OCJENSKIRADOVIOdlomak3NASTAVAKODLOMKA"/>
      </w:pPr>
    </w:p>
    <w:p w14:paraId="2BD95C36" w14:textId="4CB34F5F" w:rsidR="00A4217A" w:rsidRDefault="00A4217A" w:rsidP="00D42889">
      <w:pPr>
        <w:pStyle w:val="OCJENSKIRADOVIOdlomak3NASTAVAKODLOMKA"/>
      </w:pPr>
    </w:p>
    <w:p w14:paraId="15F8BB7E" w14:textId="023D8B4C" w:rsidR="00A4217A" w:rsidRDefault="00A4217A" w:rsidP="00D42889">
      <w:pPr>
        <w:pStyle w:val="OCJENSKIRADOVIOdlomak3NASTAVAKODLOMKA"/>
      </w:pPr>
    </w:p>
    <w:p w14:paraId="0E1590C5" w14:textId="6C5F84D9" w:rsidR="00A4217A" w:rsidRDefault="00A4217A" w:rsidP="00D42889">
      <w:pPr>
        <w:pStyle w:val="OCJENSKIRADOVIOdlomak3NASTAVAKODLOMKA"/>
      </w:pPr>
    </w:p>
    <w:p w14:paraId="27785AEA" w14:textId="4F449401" w:rsidR="00A4217A" w:rsidRDefault="00A4217A" w:rsidP="00D42889">
      <w:pPr>
        <w:pStyle w:val="OCJENSKIRADOVIOdlomak3NASTAVAKODLOMKA"/>
      </w:pPr>
    </w:p>
    <w:p w14:paraId="14EED1C4" w14:textId="28F21928" w:rsidR="00A4217A" w:rsidRDefault="00A4217A" w:rsidP="00D42889">
      <w:pPr>
        <w:pStyle w:val="OCJENSKIRADOVIOdlomak3NASTAVAKODLOMKA"/>
      </w:pPr>
    </w:p>
    <w:p w14:paraId="6ABBDBE9" w14:textId="43F06551" w:rsidR="00A4217A" w:rsidRDefault="00A4217A" w:rsidP="00D42889">
      <w:pPr>
        <w:pStyle w:val="OCJENSKIRADOVIOdlomak3NASTAVAKODLOMKA"/>
      </w:pPr>
    </w:p>
    <w:p w14:paraId="786BAEF0" w14:textId="56231736" w:rsidR="00A4217A" w:rsidRDefault="00A4217A" w:rsidP="00D42889">
      <w:pPr>
        <w:pStyle w:val="OCJENSKIRADOVIOdlomak3NASTAVAKODLOMKA"/>
      </w:pPr>
    </w:p>
    <w:p w14:paraId="1B3E4D5C" w14:textId="402A74A0" w:rsidR="00A4217A" w:rsidRDefault="00A4217A" w:rsidP="00D42889">
      <w:pPr>
        <w:pStyle w:val="OCJENSKIRADOVIOdlomak3NASTAVAKODLOMKA"/>
      </w:pPr>
    </w:p>
    <w:p w14:paraId="37C8EC6D" w14:textId="3222E452" w:rsidR="00A4217A" w:rsidRDefault="00A4217A" w:rsidP="00D42889">
      <w:pPr>
        <w:pStyle w:val="OCJENSKIRADOVIOdlomak3NASTAVAKODLOMKA"/>
      </w:pPr>
    </w:p>
    <w:p w14:paraId="7F9DE5A4" w14:textId="677FCC32" w:rsidR="00A4217A" w:rsidRDefault="00A4217A" w:rsidP="00D42889">
      <w:pPr>
        <w:pStyle w:val="OCJENSKIRADOVIOdlomak3NASTAVAKODLOMKA"/>
      </w:pPr>
    </w:p>
    <w:p w14:paraId="2CC991AD" w14:textId="4BE668D2" w:rsidR="00A4217A" w:rsidRDefault="00A4217A" w:rsidP="00D42889">
      <w:pPr>
        <w:pStyle w:val="OCJENSKIRADOVIOdlomak3NASTAVAKODLOMKA"/>
      </w:pPr>
    </w:p>
    <w:p w14:paraId="61502B5C" w14:textId="5B9C57EA" w:rsidR="00A4217A" w:rsidRDefault="00A4217A" w:rsidP="00D42889">
      <w:pPr>
        <w:pStyle w:val="OCJENSKIRADOVIOdlomak3NASTAVAKODLOMKA"/>
      </w:pPr>
    </w:p>
    <w:p w14:paraId="2E5E6982" w14:textId="77777777" w:rsidR="00A4217A" w:rsidRPr="00BB33A1" w:rsidRDefault="00A4217A" w:rsidP="00D42889">
      <w:pPr>
        <w:pStyle w:val="OCJENSKIRADOVIOdlomak3NASTAVAKODLOMKA"/>
      </w:pPr>
    </w:p>
    <w:p w14:paraId="2CC51A24" w14:textId="6689015E" w:rsidR="00EF2955" w:rsidRPr="00E442BF" w:rsidRDefault="00EF2955" w:rsidP="00EF2955">
      <w:pPr>
        <w:pStyle w:val="OCJENSKIRADOVIOdlomak3NASTAVAKODLOMKA"/>
        <w:jc w:val="center"/>
      </w:pPr>
      <w:r w:rsidRPr="00BB33A1">
        <w:lastRenderedPageBreak/>
        <w:t>Tablica 1. Sažeti prikaz primjene ciklodekstrina u različitim industrijama</w:t>
      </w:r>
      <w:r w:rsidR="00E442BF">
        <w:rPr>
          <w:vertAlign w:val="superscript"/>
        </w:rPr>
        <w:t>1</w:t>
      </w:r>
    </w:p>
    <w:tbl>
      <w:tblPr>
        <w:tblStyle w:val="Reetkatablice"/>
        <w:tblpPr w:leftFromText="180" w:rightFromText="180" w:vertAnchor="text" w:tblpXSpec="center" w:tblpY="1"/>
        <w:tblOverlap w:val="never"/>
        <w:tblW w:w="0" w:type="auto"/>
        <w:tblLook w:val="04A0" w:firstRow="1" w:lastRow="0" w:firstColumn="1" w:lastColumn="0" w:noHBand="0" w:noVBand="1"/>
      </w:tblPr>
      <w:tblGrid>
        <w:gridCol w:w="4643"/>
        <w:gridCol w:w="4644"/>
      </w:tblGrid>
      <w:tr w:rsidR="00EF2955" w:rsidRPr="00BB33A1" w14:paraId="39B69AFC" w14:textId="77777777" w:rsidTr="003F1594">
        <w:tc>
          <w:tcPr>
            <w:tcW w:w="4643" w:type="dxa"/>
            <w:vAlign w:val="center"/>
          </w:tcPr>
          <w:p w14:paraId="2655F0BF" w14:textId="48CC4F55" w:rsidR="00EF2955" w:rsidRPr="00BB33A1" w:rsidRDefault="00EF2955" w:rsidP="003F1594">
            <w:pPr>
              <w:pStyle w:val="OCJENSKIRADOVIOdlomak3NASTAVAKODLOMKA"/>
              <w:jc w:val="center"/>
            </w:pPr>
            <w:r w:rsidRPr="00BB33A1">
              <w:t>Industrija</w:t>
            </w:r>
          </w:p>
        </w:tc>
        <w:tc>
          <w:tcPr>
            <w:tcW w:w="4644" w:type="dxa"/>
            <w:vAlign w:val="center"/>
          </w:tcPr>
          <w:p w14:paraId="4A0194CF" w14:textId="3CC88007" w:rsidR="00EF2955" w:rsidRPr="00BB33A1" w:rsidRDefault="00EF2955" w:rsidP="003F1594">
            <w:pPr>
              <w:pStyle w:val="OCJENSKIRADOVIOdlomak3NASTAVAKODLOMKA"/>
              <w:jc w:val="center"/>
            </w:pPr>
            <w:r w:rsidRPr="00BB33A1">
              <w:t>Primjeri primjene ciklodekstrina</w:t>
            </w:r>
          </w:p>
        </w:tc>
      </w:tr>
      <w:tr w:rsidR="00EF2955" w:rsidRPr="00BB33A1" w14:paraId="25AD580E" w14:textId="77777777" w:rsidTr="003F1594">
        <w:tc>
          <w:tcPr>
            <w:tcW w:w="4643" w:type="dxa"/>
            <w:vAlign w:val="center"/>
          </w:tcPr>
          <w:p w14:paraId="2D64862C" w14:textId="0D0C5239" w:rsidR="00EF2955" w:rsidRPr="00BB33A1" w:rsidRDefault="00EF2955" w:rsidP="003F1594">
            <w:pPr>
              <w:pStyle w:val="OCJENSKIRADOVIOdlomak3NASTAVAKODLOMKA"/>
              <w:jc w:val="center"/>
            </w:pPr>
            <w:r w:rsidRPr="00BB33A1">
              <w:t>Farmaceutska</w:t>
            </w:r>
          </w:p>
        </w:tc>
        <w:tc>
          <w:tcPr>
            <w:tcW w:w="4644" w:type="dxa"/>
            <w:vAlign w:val="center"/>
          </w:tcPr>
          <w:p w14:paraId="047C0A8C" w14:textId="506B29DC" w:rsidR="00EF2955" w:rsidRPr="00BB33A1" w:rsidRDefault="00EF2955" w:rsidP="003F1594">
            <w:pPr>
              <w:pStyle w:val="OCJENSKIRADOVIOdlomak3NASTAVAKODLOMKA"/>
              <w:jc w:val="center"/>
            </w:pPr>
            <w:r w:rsidRPr="00BB33A1">
              <w:t>Poboljšanje topljivosti (bioraspoloživosti) i stabilnosti lijekova, zaštita od razgradnje</w:t>
            </w:r>
            <w:r w:rsidR="00E233B8" w:rsidRPr="00BB33A1">
              <w:t>/vanjskog utjecaja</w:t>
            </w:r>
            <w:r w:rsidRPr="00BB33A1">
              <w:t>, maskiranje neugodnih okusa i mirisa</w:t>
            </w:r>
          </w:p>
        </w:tc>
      </w:tr>
      <w:tr w:rsidR="00EF2955" w:rsidRPr="00BB33A1" w14:paraId="0BE9422B" w14:textId="77777777" w:rsidTr="003F1594">
        <w:tc>
          <w:tcPr>
            <w:tcW w:w="4643" w:type="dxa"/>
            <w:vAlign w:val="center"/>
          </w:tcPr>
          <w:p w14:paraId="0617D799" w14:textId="36763C0A" w:rsidR="00EF2955" w:rsidRPr="00BB33A1" w:rsidRDefault="00EF2955" w:rsidP="003F1594">
            <w:pPr>
              <w:pStyle w:val="OCJENSKIRADOVIOdlomak3NASTAVAKODLOMKA"/>
              <w:jc w:val="center"/>
            </w:pPr>
            <w:r w:rsidRPr="00BB33A1">
              <w:t>Biomedicina</w:t>
            </w:r>
          </w:p>
        </w:tc>
        <w:tc>
          <w:tcPr>
            <w:tcW w:w="4644" w:type="dxa"/>
            <w:vAlign w:val="center"/>
          </w:tcPr>
          <w:p w14:paraId="5BB6B922" w14:textId="5C646EBC" w:rsidR="00EF2955" w:rsidRPr="00BB33A1" w:rsidRDefault="00555C96" w:rsidP="003F1594">
            <w:pPr>
              <w:pStyle w:val="OCJENSKIRADOVIOdlomak3NASTAVAKODLOMKA"/>
              <w:jc w:val="center"/>
            </w:pPr>
            <w:r w:rsidRPr="00BB33A1">
              <w:t>Nosači lijekova za ciljanu dostavu i kontrolirano oslobađanje, biokompatibilni materijali za medicinske primjene</w:t>
            </w:r>
          </w:p>
        </w:tc>
      </w:tr>
      <w:tr w:rsidR="00EF2955" w:rsidRPr="00BB33A1" w14:paraId="750D108D" w14:textId="77777777" w:rsidTr="003F1594">
        <w:trPr>
          <w:trHeight w:val="712"/>
        </w:trPr>
        <w:tc>
          <w:tcPr>
            <w:tcW w:w="4643" w:type="dxa"/>
            <w:vAlign w:val="center"/>
          </w:tcPr>
          <w:p w14:paraId="0E9C25EB" w14:textId="3B11DEA6" w:rsidR="00EF2955" w:rsidRPr="00BB33A1" w:rsidRDefault="00EF2955" w:rsidP="003F1594">
            <w:pPr>
              <w:pStyle w:val="OCJENSKIRADOVIOdlomak3NASTAVAKODLOMKA"/>
              <w:jc w:val="center"/>
            </w:pPr>
            <w:r w:rsidRPr="00BB33A1">
              <w:t>Kozmetika</w:t>
            </w:r>
          </w:p>
        </w:tc>
        <w:tc>
          <w:tcPr>
            <w:tcW w:w="4644" w:type="dxa"/>
            <w:vAlign w:val="center"/>
          </w:tcPr>
          <w:p w14:paraId="176767FD" w14:textId="035C2BF5" w:rsidR="00EF2955" w:rsidRPr="00BB33A1" w:rsidRDefault="00555C96" w:rsidP="003F1594">
            <w:pPr>
              <w:pStyle w:val="OCJENSKIRADOVIOdlomak3NASTAVAKODLOMKA"/>
              <w:jc w:val="center"/>
            </w:pPr>
            <w:r w:rsidRPr="00BB33A1">
              <w:t>Stabilizacija aktivnih sastojaka, poboljšanje mirisa i produljenje učinkovitosti</w:t>
            </w:r>
          </w:p>
        </w:tc>
      </w:tr>
      <w:tr w:rsidR="00EF2955" w:rsidRPr="00BB33A1" w14:paraId="4315C382" w14:textId="77777777" w:rsidTr="003F1594">
        <w:tc>
          <w:tcPr>
            <w:tcW w:w="4643" w:type="dxa"/>
            <w:vAlign w:val="center"/>
          </w:tcPr>
          <w:p w14:paraId="1140E18B" w14:textId="09DFAC47" w:rsidR="00EF2955" w:rsidRPr="00BB33A1" w:rsidRDefault="00EF2955" w:rsidP="003F1594">
            <w:pPr>
              <w:pStyle w:val="OCJENSKIRADOVIOdlomak3NASTAVAKODLOMKA"/>
              <w:jc w:val="center"/>
            </w:pPr>
            <w:r w:rsidRPr="00BB33A1">
              <w:t>Prehrambena</w:t>
            </w:r>
          </w:p>
        </w:tc>
        <w:tc>
          <w:tcPr>
            <w:tcW w:w="4644" w:type="dxa"/>
            <w:vAlign w:val="center"/>
          </w:tcPr>
          <w:p w14:paraId="01194FC4" w14:textId="6B49D0E4" w:rsidR="00EF2955" w:rsidRPr="00BB33A1" w:rsidRDefault="00555C96" w:rsidP="003F1594">
            <w:pPr>
              <w:pStyle w:val="OCJENSKIRADOVIOdlomak3NASTAVAKODLOMKA"/>
              <w:jc w:val="center"/>
            </w:pPr>
            <w:r w:rsidRPr="00BB33A1">
              <w:t>Zaštita okusa, boja i mirisa, produljenje roka trajanja, poboljšanje topljivosti lipofilnih sastojaka</w:t>
            </w:r>
          </w:p>
        </w:tc>
      </w:tr>
      <w:tr w:rsidR="00EF2955" w:rsidRPr="00BB33A1" w14:paraId="6086BE54" w14:textId="77777777" w:rsidTr="003F1594">
        <w:tc>
          <w:tcPr>
            <w:tcW w:w="4643" w:type="dxa"/>
            <w:vAlign w:val="center"/>
          </w:tcPr>
          <w:p w14:paraId="34FA19A3" w14:textId="749268A9" w:rsidR="00EF2955" w:rsidRPr="00BB33A1" w:rsidRDefault="00EF2955" w:rsidP="003F1594">
            <w:pPr>
              <w:pStyle w:val="OCJENSKIRADOVIOdlomak3NASTAVAKODLOMKA"/>
              <w:jc w:val="center"/>
            </w:pPr>
            <w:r w:rsidRPr="00BB33A1">
              <w:t>Tekstilna</w:t>
            </w:r>
          </w:p>
        </w:tc>
        <w:tc>
          <w:tcPr>
            <w:tcW w:w="4644" w:type="dxa"/>
            <w:vAlign w:val="center"/>
          </w:tcPr>
          <w:p w14:paraId="79B6451F" w14:textId="500212BD" w:rsidR="00EF2955" w:rsidRPr="00BB33A1" w:rsidRDefault="00555C96" w:rsidP="003F1594">
            <w:pPr>
              <w:pStyle w:val="OCJENSKIRADOVIOdlomak3NASTAVAKODLOMKA"/>
              <w:jc w:val="center"/>
            </w:pPr>
            <w:r w:rsidRPr="00BB33A1">
              <w:t>Antimikrobna svojstva, povećanje otpornosti na vlaku i mrlje</w:t>
            </w:r>
          </w:p>
        </w:tc>
      </w:tr>
      <w:tr w:rsidR="00EF2955" w:rsidRPr="00BB33A1" w14:paraId="23127662" w14:textId="77777777" w:rsidTr="003F1594">
        <w:tc>
          <w:tcPr>
            <w:tcW w:w="4643" w:type="dxa"/>
            <w:vAlign w:val="center"/>
          </w:tcPr>
          <w:p w14:paraId="35BB5F81" w14:textId="6B1AE2C7" w:rsidR="00EF2955" w:rsidRPr="00BB33A1" w:rsidRDefault="00EF2955" w:rsidP="003F1594">
            <w:pPr>
              <w:pStyle w:val="OCJENSKIRADOVIOdlomak3NASTAVAKODLOMKA"/>
              <w:jc w:val="center"/>
            </w:pPr>
            <w:r w:rsidRPr="00BB33A1">
              <w:t>Ekologija</w:t>
            </w:r>
          </w:p>
        </w:tc>
        <w:tc>
          <w:tcPr>
            <w:tcW w:w="4644" w:type="dxa"/>
            <w:vAlign w:val="center"/>
          </w:tcPr>
          <w:p w14:paraId="704BB2AC" w14:textId="687CBD32" w:rsidR="00EF2955" w:rsidRPr="00BB33A1" w:rsidRDefault="00555C96" w:rsidP="003F1594">
            <w:pPr>
              <w:pStyle w:val="OCJENSKIRADOVIOdlomak3NASTAVAKODLOMKA"/>
              <w:jc w:val="center"/>
            </w:pPr>
            <w:r w:rsidRPr="00BB33A1">
              <w:t>Uklanjanje organskih zagađivala i teških metala iz vode i tla, poboljšanje procesa pročišćivanja</w:t>
            </w:r>
          </w:p>
        </w:tc>
      </w:tr>
      <w:tr w:rsidR="00EF2955" w:rsidRPr="00BB33A1" w14:paraId="233F1D13" w14:textId="77777777" w:rsidTr="003F1594">
        <w:tc>
          <w:tcPr>
            <w:tcW w:w="4643" w:type="dxa"/>
            <w:vAlign w:val="center"/>
          </w:tcPr>
          <w:p w14:paraId="169849BA" w14:textId="7F818595" w:rsidR="00EF2955" w:rsidRPr="00BB33A1" w:rsidRDefault="00EF2955" w:rsidP="003F1594">
            <w:pPr>
              <w:pStyle w:val="OCJENSKIRADOVIOdlomak3NASTAVAKODLOMKA"/>
              <w:jc w:val="center"/>
            </w:pPr>
            <w:r w:rsidRPr="00BB33A1">
              <w:t>Materijali i nanotehnologija</w:t>
            </w:r>
          </w:p>
        </w:tc>
        <w:tc>
          <w:tcPr>
            <w:tcW w:w="4644" w:type="dxa"/>
            <w:vAlign w:val="center"/>
          </w:tcPr>
          <w:p w14:paraId="6B512681" w14:textId="2283C172" w:rsidR="00EF2955" w:rsidRPr="00BB33A1" w:rsidRDefault="00555C96" w:rsidP="003F1594">
            <w:pPr>
              <w:pStyle w:val="OCJENSKIRADOVIOdlomak3NASTAVAKODLOMKA"/>
              <w:jc w:val="center"/>
            </w:pPr>
            <w:r w:rsidRPr="00BB33A1">
              <w:t>Razvoj nanospužvi, polimernih materijala, funkcionalnih površina, kontrolirano otpuštanje aktivnih tvari</w:t>
            </w:r>
          </w:p>
        </w:tc>
      </w:tr>
    </w:tbl>
    <w:p w14:paraId="602FB458" w14:textId="77777777" w:rsidR="00BA2926" w:rsidRPr="00BB33A1" w:rsidRDefault="00BA2926" w:rsidP="00D42889">
      <w:pPr>
        <w:pStyle w:val="OCJENSKIRADOVIOdlomak3NASTAVAKODLOMKA"/>
      </w:pPr>
    </w:p>
    <w:p w14:paraId="0F757ABD" w14:textId="4E523483" w:rsidR="00502F39" w:rsidRPr="00BB33A1" w:rsidRDefault="00342F9A" w:rsidP="00D42889">
      <w:pPr>
        <w:pStyle w:val="OCJENSKIRADOVIOdlomak3NASTAVAKODLOMKA"/>
        <w:rPr>
          <w:vertAlign w:val="superscript"/>
        </w:rPr>
      </w:pPr>
      <w:r w:rsidRPr="00BB33A1">
        <w:t xml:space="preserve">Priprava ciklodekstrinskih kompleksa moguća je u otopinama i u </w:t>
      </w:r>
      <w:r w:rsidR="00B349EA" w:rsidRPr="00BB33A1">
        <w:t>čvrstom</w:t>
      </w:r>
      <w:r w:rsidRPr="00BB33A1">
        <w:t xml:space="preserve"> stanju</w:t>
      </w:r>
      <w:r w:rsidR="00B349EA" w:rsidRPr="00BB33A1">
        <w:t>, a izbor metode pripreme je važan korak u razvoju tih formulacija. U mnogim je slučajevima odabrana metoda za pripravu kompleksa značajno utje</w:t>
      </w:r>
      <w:r w:rsidR="002D3416" w:rsidRPr="00BB33A1">
        <w:t>če</w:t>
      </w:r>
      <w:r w:rsidR="00B349EA" w:rsidRPr="00BB33A1">
        <w:t xml:space="preserve"> na strukturu i svojstva konačnog produkta, pri čemu kruti kompleks može poprimiti amorfnu ili kristaličnu fazu, a ponekad čak dolazi i do razlika u omjeru molekula domaćina i gosta.</w:t>
      </w:r>
      <w:r w:rsidR="00B349EA" w:rsidRPr="00BB33A1">
        <w:rPr>
          <w:vertAlign w:val="superscript"/>
        </w:rPr>
        <w:t>1</w:t>
      </w:r>
      <w:r w:rsidR="00757036" w:rsidRPr="00BB33A1">
        <w:t xml:space="preserve"> Priprava inkluzijskih kompleksa ciklodekstrina u čvrstom stanju dijeli se na tri glavne skupine: metode u otopini, metode u polu-čvrstom stanju i metode u čvrstom stanju. Metode u otopini uključuju otapanje molekule gosta i ciklodekstrina u vodi ili smjesi vode i organskog otapala, pri čemu se temperatura i pH prilagođavaju kako bi se postigla maksimalna interakcija između komponenti. Iako su ove </w:t>
      </w:r>
      <w:r w:rsidR="00757036" w:rsidRPr="00BB33A1">
        <w:lastRenderedPageBreak/>
        <w:t>metode široko korištene, njihovi glavni nedostaci su visoka potrošnja energije, vremena i organskih otapala poput etanola i metanola, čije uklanjanje može biti zahtjevno, a njihova prisutnost u konačnom čvrstom proizvodu može uzrokovati toksične učinke, što dodatno ograničava primjenu ovih metoda.</w:t>
      </w:r>
      <w:r w:rsidR="00FB46B7" w:rsidRPr="00BB33A1">
        <w:t xml:space="preserve"> </w:t>
      </w:r>
      <w:r w:rsidR="008A419F" w:rsidRPr="00BB33A1">
        <w:t>Za razliku od metoda u otopini, m</w:t>
      </w:r>
      <w:r w:rsidR="00FB46B7" w:rsidRPr="00BB33A1">
        <w:t>etode u polu-čvrstom stanju temelje se na gnječenju smjese molekule gosta i ciklodekstrina uz dodatak male količine vode ili smjese vode i etanola, čime nastaje homogena masa koja se zatim suši i prevodi u prah. Međutim, ove metode često rezultiraju samo djelomičnim kompleksiranjem molekule gosta i ciklodekstrina, što može utjecati na konačna svojstva proizvoda.</w:t>
      </w:r>
      <w:r w:rsidR="00561B7E" w:rsidRPr="00BB33A1">
        <w:t xml:space="preserve"> Kod metoda u čvrstom stanju primjenjuju se mikrovalno zračenje, blago zagrijavanje u zatvorenoj posudi na temperaturi ispod točke taljenja spojeva te mehanokemijska aktivacija mljevenjem smjese molekule gosta i ciklodekstrina u različitim vrstama mlinova. Za razliku od mikrovalnog zračenja i zagrijavanja, pri kojima može doći do razgradnje</w:t>
      </w:r>
      <w:r w:rsidR="001D71F5" w:rsidRPr="00BB33A1">
        <w:t xml:space="preserve"> molekule gosta</w:t>
      </w:r>
      <w:r w:rsidR="00561B7E" w:rsidRPr="00BB33A1">
        <w:t>, mljevenje se ističe kao jednostavna, brza, ekološki prihvatljiva i učinkovita metoda za pripravu inkluzijskih kompleksa u čvrstom stanju.</w:t>
      </w:r>
      <w:r w:rsidR="001D71F5" w:rsidRPr="00BB33A1">
        <w:t xml:space="preserve"> </w:t>
      </w:r>
      <w:r w:rsidRPr="00BB33A1">
        <w:t xml:space="preserve">Procesi priprave u </w:t>
      </w:r>
      <w:r w:rsidR="001D71F5" w:rsidRPr="00BB33A1">
        <w:t>čvrstom</w:t>
      </w:r>
      <w:r w:rsidRPr="00BB33A1">
        <w:t xml:space="preserve"> stanju poput zajedničkog mljevenja, gnječenja, liofilizacije, koprecipitacije i isparavanja otapala široko su opisani u literaturi.</w:t>
      </w:r>
      <w:r w:rsidR="001D71F5" w:rsidRPr="00BB33A1">
        <w:rPr>
          <w:vertAlign w:val="superscript"/>
        </w:rPr>
        <w:t>1,</w:t>
      </w:r>
      <w:r w:rsidR="0018408A">
        <w:rPr>
          <w:vertAlign w:val="superscript"/>
        </w:rPr>
        <w:t>10</w:t>
      </w:r>
      <w:r w:rsidR="00393D2F" w:rsidRPr="00BB33A1">
        <w:rPr>
          <w:vertAlign w:val="superscript"/>
        </w:rPr>
        <w:t>,</w:t>
      </w:r>
      <w:r w:rsidR="00B665DA" w:rsidRPr="00BB33A1">
        <w:rPr>
          <w:vertAlign w:val="superscript"/>
        </w:rPr>
        <w:t>1</w:t>
      </w:r>
      <w:r w:rsidR="0018408A">
        <w:rPr>
          <w:vertAlign w:val="superscript"/>
        </w:rPr>
        <w:t>1</w:t>
      </w:r>
    </w:p>
    <w:p w14:paraId="3CD6952A" w14:textId="42B55B28" w:rsidR="005140D8" w:rsidRPr="00BB33A1" w:rsidRDefault="002D53B9" w:rsidP="00B15DD4">
      <w:pPr>
        <w:pStyle w:val="OCJENSKIRADOVIOdlomak3NASTAVAKODLOMKA"/>
        <w:ind w:firstLine="720"/>
      </w:pPr>
      <w:r w:rsidRPr="00BB33A1">
        <w:t xml:space="preserve">Proučavanje procesa kompleksacije ciklodekstrinima, kao i detaljna karakterizacija nastalih kompleksa, predstavlja složen eksperimentalni izazov. U tu svrhu obično je potrebno upotrijebiti više analitičkih tehnika, pri čemu se dobiveni rezultati zajednički interpretiraju, jer svaka metoda pruža uvid u određeno svojstvo gosta ili samog kompleksa. </w:t>
      </w:r>
      <w:r w:rsidR="00B15DD4" w:rsidRPr="00BB33A1">
        <w:t xml:space="preserve">Temeljita i višestruka karakterizacija nužna je za detaljnije razumijevanje interakcija koje se uspostavljaju između ciklodekstrina i molekule gosta, što u konačnici omogućuje pravilan odabir najpogodnijeg ciklodekstrina ili njegovog derivata za određenu primjenu. </w:t>
      </w:r>
      <w:r w:rsidRPr="00BB33A1">
        <w:t>Većina tih tehnika temelji se na detekciji promjena fizikalnih ili kemijskih svojstava molekule gosta koje nastaju kao posljedica interakcije s ciklodekstrinom</w:t>
      </w:r>
      <w:r w:rsidR="00194A5B" w:rsidRPr="00BB33A1">
        <w:t>.</w:t>
      </w:r>
    </w:p>
    <w:p w14:paraId="23CE20F4" w14:textId="69151C79" w:rsidR="005140D8" w:rsidRPr="00BB33A1" w:rsidRDefault="006B0F78" w:rsidP="00B15DD4">
      <w:pPr>
        <w:pStyle w:val="OCJENSKIRADOVIOdlomak3NASTAVAKODLOMKA"/>
        <w:ind w:firstLine="720"/>
      </w:pPr>
      <w:r w:rsidRPr="00BB33A1">
        <w:t>U analizi inkluzijskih i nespecifičnih kompleksa ciklodekstrina u otopinama najčešće se primjenjuju spektroskopske metode, među kojima se ističu UV/Vis apsorpcijska spektroskopija, cirkularni dikroizam, spektrofluorimetrija</w:t>
      </w:r>
      <w:r w:rsidR="00272648" w:rsidRPr="00BB33A1">
        <w:t xml:space="preserve">, </w:t>
      </w:r>
      <w:r w:rsidRPr="00BB33A1">
        <w:t>spektroskopija nuklearne magnetske rezonancije</w:t>
      </w:r>
      <w:r w:rsidR="00272648" w:rsidRPr="00BB33A1">
        <w:t xml:space="preserve"> te elektronska spinska rezonancija</w:t>
      </w:r>
      <w:r w:rsidRPr="00BB33A1">
        <w:t>.</w:t>
      </w:r>
      <w:r w:rsidR="00272648" w:rsidRPr="00BB33A1">
        <w:t xml:space="preserve"> Također se koriste elektroanalitičke tehnike (polarografija, voltametrija, potenciometrija i konduktometrija), tehnike odjeljivanja tj. separacije (tekućinska kromatografija visoke djelotvornosti </w:t>
      </w:r>
      <w:r w:rsidR="00DB5C65" w:rsidRPr="00BB33A1">
        <w:t>i</w:t>
      </w:r>
      <w:r w:rsidR="00272648" w:rsidRPr="00BB33A1">
        <w:t xml:space="preserve"> kapilarna elektroforeza), polarimetrija </w:t>
      </w:r>
      <w:r w:rsidR="00DB5C65" w:rsidRPr="00BB33A1">
        <w:t>te</w:t>
      </w:r>
      <w:r w:rsidR="00272648" w:rsidRPr="00BB33A1">
        <w:t xml:space="preserve"> izotermna titracijska kalorimetrija.</w:t>
      </w:r>
      <w:r w:rsidR="0018408A">
        <w:rPr>
          <w:vertAlign w:val="superscript"/>
        </w:rPr>
        <w:t>9</w:t>
      </w:r>
    </w:p>
    <w:p w14:paraId="5E0287A3" w14:textId="4411349A" w:rsidR="00D42889" w:rsidRPr="00BB33A1" w:rsidRDefault="006B0F78" w:rsidP="004A1811">
      <w:pPr>
        <w:pStyle w:val="OCJENSKIRADOVIOdlomak3NASTAVAKODLOMKA"/>
      </w:pPr>
      <w:r w:rsidRPr="00BB33A1">
        <w:lastRenderedPageBreak/>
        <w:t xml:space="preserve">S druge strane, za karakterizaciju kompleksa u čvrstom stanju uobičajeno se koriste </w:t>
      </w:r>
      <w:r w:rsidR="00DB5C65" w:rsidRPr="00BB33A1">
        <w:t>tehnike termičke analize (diferencijalna pretražna kalorimetrija</w:t>
      </w:r>
      <w:r w:rsidR="00D0323F">
        <w:t>, DSC</w:t>
      </w:r>
      <w:r w:rsidR="00DB5C65" w:rsidRPr="00BB33A1">
        <w:t xml:space="preserve"> i termogravimetrijska analiza</w:t>
      </w:r>
      <w:r w:rsidR="00D0323F">
        <w:t>, TGA</w:t>
      </w:r>
      <w:r w:rsidR="00DB5C65" w:rsidRPr="00BB33A1">
        <w:t>), tehnike temeljene na difrakciji rendgenskih zraka (na monokristalu i na polikristalnim uzorcima),</w:t>
      </w:r>
      <w:r w:rsidR="005D1ED6" w:rsidRPr="00BB33A1">
        <w:t xml:space="preserve"> </w:t>
      </w:r>
      <w:r w:rsidR="00DB5C65" w:rsidRPr="00BB33A1">
        <w:t xml:space="preserve">spektroskopske tehnike (infracrvena spektroskopija s Fourierovom transformacijom, </w:t>
      </w:r>
      <w:r w:rsidR="005D1ED6" w:rsidRPr="00BB33A1">
        <w:t>tehnika prigušene totalne refleksije te Ramanova spektroskopija) i pretražna elektronska mikroskopija</w:t>
      </w:r>
      <w:r w:rsidR="004A1811" w:rsidRPr="004A1811">
        <w:t xml:space="preserve"> </w:t>
      </w:r>
      <w:r w:rsidR="004A1811" w:rsidRPr="00644B7D">
        <w:t xml:space="preserve">(engl. </w:t>
      </w:r>
      <w:r w:rsidR="004A1811" w:rsidRPr="00644B7D">
        <w:rPr>
          <w:i/>
          <w:iCs/>
        </w:rPr>
        <w:t>scanning electron microscopy</w:t>
      </w:r>
      <w:r w:rsidR="004A1811">
        <w:rPr>
          <w:i/>
          <w:iCs/>
        </w:rPr>
        <w:t xml:space="preserve">, </w:t>
      </w:r>
      <w:r w:rsidR="004A1811" w:rsidRPr="004A1811">
        <w:rPr>
          <w:iCs/>
        </w:rPr>
        <w:t>SEM</w:t>
      </w:r>
      <w:r w:rsidR="004A1811" w:rsidRPr="00644B7D">
        <w:t>)</w:t>
      </w:r>
      <w:r w:rsidR="005D1ED6" w:rsidRPr="00BB33A1">
        <w:t>.</w:t>
      </w:r>
      <w:r w:rsidR="0018408A">
        <w:rPr>
          <w:vertAlign w:val="superscript"/>
        </w:rPr>
        <w:t>10</w:t>
      </w:r>
      <w:r w:rsidR="005D1ED6" w:rsidRPr="00BB33A1">
        <w:t xml:space="preserve"> </w:t>
      </w:r>
      <w:r w:rsidR="00312E2A" w:rsidRPr="00BB33A1">
        <w:t xml:space="preserve">Osim navedenih tehnika za analizu kompleksa gost:ciklodekstrin u čvrstom stanju, u posljednje vrijeme sve češće se primjenjuju i različiti oblici spektroskopije nuklearne magnetske rezonancije u čvrstom stanju (engl. </w:t>
      </w:r>
      <w:r w:rsidR="00312E2A" w:rsidRPr="00BB33A1">
        <w:rPr>
          <w:i/>
          <w:iCs/>
        </w:rPr>
        <w:t>solid–state nuclear magnetic resonance</w:t>
      </w:r>
      <w:r w:rsidR="00312E2A" w:rsidRPr="00BB33A1">
        <w:t>, ssNMR).</w:t>
      </w:r>
      <w:r w:rsidR="00E620AD" w:rsidRPr="00BB33A1">
        <w:rPr>
          <w:vertAlign w:val="superscript"/>
        </w:rPr>
        <w:t>1</w:t>
      </w:r>
    </w:p>
    <w:p w14:paraId="1EE80788" w14:textId="101F859D" w:rsidR="00D42889" w:rsidRPr="00BB33A1" w:rsidRDefault="0007434D" w:rsidP="00D42889">
      <w:pPr>
        <w:pStyle w:val="OCJENSKIRADOVI2Podnaslovpoglavlja"/>
      </w:pPr>
      <w:bookmarkStart w:id="7" w:name="_Toc195959679"/>
      <w:r w:rsidRPr="00BB33A1">
        <w:t>Spektroskopija nuklearne magnetske rezonancije u čvrstom stanju</w:t>
      </w:r>
      <w:bookmarkEnd w:id="7"/>
    </w:p>
    <w:p w14:paraId="4A34377D" w14:textId="2D715E5A" w:rsidR="00BB3CA2" w:rsidRPr="00BB33A1" w:rsidRDefault="002D3B2F" w:rsidP="0005104F">
      <w:pPr>
        <w:pStyle w:val="OCJENSKIRADOVIOdlomak3NASTAVAKODLOMKA"/>
      </w:pPr>
      <w:r w:rsidRPr="00BB33A1">
        <w:t>S</w:t>
      </w:r>
      <w:r w:rsidRPr="00952A36">
        <w:t>pektroskopija</w:t>
      </w:r>
      <w:r w:rsidRPr="00BB33A1">
        <w:t xml:space="preserve"> nuklearne magnetske rezonancije u čvrstom stanju analitička je nedestruktivna tehnika s raznovrsnom primjenom</w:t>
      </w:r>
      <w:r w:rsidR="00F17C06" w:rsidRPr="00BB33A1">
        <w:t xml:space="preserve"> za određivanje kemijske strukture, 3D strukture te dinami</w:t>
      </w:r>
      <w:r w:rsidR="00E95799" w:rsidRPr="00BB33A1">
        <w:t>čkih svojstava</w:t>
      </w:r>
      <w:r w:rsidR="00F17C06" w:rsidRPr="00BB33A1">
        <w:t xml:space="preserve"> </w:t>
      </w:r>
      <w:r w:rsidR="00E95799" w:rsidRPr="00BB33A1">
        <w:t>čvrstih</w:t>
      </w:r>
      <w:r w:rsidR="00F17C06" w:rsidRPr="00BB33A1">
        <w:t xml:space="preserve"> i polu</w:t>
      </w:r>
      <w:r w:rsidR="00E95799" w:rsidRPr="00BB33A1">
        <w:t>čvrstih</w:t>
      </w:r>
      <w:r w:rsidR="00F17C06" w:rsidRPr="00BB33A1">
        <w:t xml:space="preserve"> tvari</w:t>
      </w:r>
      <w:r w:rsidR="00440759" w:rsidRPr="00BB33A1">
        <w:t>.</w:t>
      </w:r>
      <w:r w:rsidRPr="00BB33A1">
        <w:t xml:space="preserve"> </w:t>
      </w:r>
      <w:r w:rsidR="00D01795" w:rsidRPr="00BB33A1">
        <w:t xml:space="preserve">Za razliku od mnogih drugih analitičkih tehnika, značajna prednost spektroskopije NMR čvrstog stanja </w:t>
      </w:r>
      <w:r w:rsidR="000C4444" w:rsidRPr="00BB33A1">
        <w:t xml:space="preserve">je mogućnost analize uzoraka u njihovom izvornom stanju bez potrebe za prethodnom kemijskom modifikacijom ili kristalizacijom. Spektri se često snimaju na uzorcima pri prirodnoj izotopnoj zastupljenosti (bez izotopnog obogaćivanja), a rotori koji se koriste kao spremnici omogućuju izravno pakiranje ili centrifugiranje praškastih, pastoznih, gelastih, vlaknastih ili membranskih materijala. Obzirom da su rotori hermetički zatvoreni, moguće je proučavati osjetljive i hidratizirane uzorke, bez izlaganja zraku ili gubitka vlage. </w:t>
      </w:r>
      <w:r w:rsidR="0005104F" w:rsidRPr="00BB33A1">
        <w:t xml:space="preserve">Spektroskopija NMR u čvrstom stanju omogućuje detaljnu analizu strukture, dinamike i sastava uzoraka, postoji veliki izbor pulsnih sljedova i eksperimenata te je primjenjiva na širok raspon materijala. </w:t>
      </w:r>
      <w:r w:rsidR="002C7560" w:rsidRPr="00BB33A1">
        <w:t xml:space="preserve">Također se sve češće koriste računalne metode kao nadopuna eksperimentalnim podatcima spektroskopije NMR, jer pomažu u pouzdanijoj interpretaciji dobivenih rezultata. </w:t>
      </w:r>
      <w:r w:rsidR="0005104F" w:rsidRPr="00BB33A1">
        <w:t xml:space="preserve">Međutim, glavni nedostatci </w:t>
      </w:r>
      <w:r w:rsidR="002C7560" w:rsidRPr="00BB33A1">
        <w:t xml:space="preserve">ssNMR-a </w:t>
      </w:r>
      <w:r w:rsidR="0005104F" w:rsidRPr="00BB33A1">
        <w:t>su niska osjetljivost, duga vremena akvizicije, kompleksna interpretacija podataka</w:t>
      </w:r>
      <w:r w:rsidR="00CC1380" w:rsidRPr="00BB33A1">
        <w:t xml:space="preserve">, zahtjevno izotopno obogaćivanje za pojedine uzorke (npr. za </w:t>
      </w:r>
      <w:r w:rsidR="00CC1380" w:rsidRPr="00BB33A1">
        <w:rPr>
          <w:vertAlign w:val="superscript"/>
        </w:rPr>
        <w:t>13</w:t>
      </w:r>
      <w:r w:rsidR="00CC1380" w:rsidRPr="00BB33A1">
        <w:t xml:space="preserve">C ili </w:t>
      </w:r>
      <w:r w:rsidR="00CC1380" w:rsidRPr="00BB33A1">
        <w:rPr>
          <w:vertAlign w:val="superscript"/>
        </w:rPr>
        <w:t>15</w:t>
      </w:r>
      <w:r w:rsidR="00CC1380" w:rsidRPr="00BB33A1">
        <w:t>N)</w:t>
      </w:r>
      <w:r w:rsidR="00E32A0B" w:rsidRPr="00BB33A1">
        <w:t xml:space="preserve"> </w:t>
      </w:r>
      <w:r w:rsidR="0005104F" w:rsidRPr="00BB33A1">
        <w:t>i skupa oprema.</w:t>
      </w:r>
      <w:r w:rsidR="00E73690">
        <w:rPr>
          <w:vertAlign w:val="superscript"/>
        </w:rPr>
        <w:t>2</w:t>
      </w:r>
      <w:r w:rsidR="003C575E" w:rsidRPr="00BB33A1">
        <w:rPr>
          <w:vertAlign w:val="superscript"/>
        </w:rPr>
        <w:t>,12</w:t>
      </w:r>
    </w:p>
    <w:p w14:paraId="0275D440" w14:textId="23EAED3C" w:rsidR="00B85648" w:rsidRPr="00BB33A1" w:rsidRDefault="0010637F" w:rsidP="00BB3CA2">
      <w:pPr>
        <w:pStyle w:val="OCJENSKIRADOVIOdlomak3NASTAVAKODLOMKA"/>
        <w:ind w:firstLine="720"/>
      </w:pPr>
      <w:r w:rsidRPr="00BB33A1">
        <w:t xml:space="preserve">U spektroskopiji </w:t>
      </w:r>
      <w:r w:rsidR="00D22EF2" w:rsidRPr="00BB33A1">
        <w:t>NMR čvrstog stanja</w:t>
      </w:r>
      <w:r w:rsidRPr="00BB33A1">
        <w:t xml:space="preserve"> sudjeluju različite vrste interakcija, uključujući dipolne, kvadrupolne, spin-spin te Zeemanove interakcije. Sve su te interakcije anizotropne prirode, odnosno ovise o orijentaciji molekula u odnosu na smjer vanjskog magnetskog polja. Među njima se osobito ističe anizotropija kemijskog pomaka. </w:t>
      </w:r>
      <w:r w:rsidR="007A217C" w:rsidRPr="00BB33A1">
        <w:t>Za razliku od spektara NMR u otopini,</w:t>
      </w:r>
      <w:r w:rsidR="00BD648F" w:rsidRPr="00BB33A1">
        <w:t xml:space="preserve"> gdje su učinci anizotropije i dipol-dipol sprezanja zanemarivi i rijetko se očituju</w:t>
      </w:r>
      <w:r w:rsidR="0077269C" w:rsidRPr="00BB33A1">
        <w:t xml:space="preserve"> (brzo izotropno kretanje molekula uprosječuju te interakcije na nulu)</w:t>
      </w:r>
      <w:r w:rsidR="00BD648F" w:rsidRPr="00BB33A1">
        <w:t xml:space="preserve">, u čvrstom stanju oni značajno </w:t>
      </w:r>
      <w:r w:rsidR="00BD648F" w:rsidRPr="00BB33A1">
        <w:lastRenderedPageBreak/>
        <w:t>utječu na spektar.</w:t>
      </w:r>
      <w:r w:rsidR="00023BBF" w:rsidRPr="00BB33A1">
        <w:t xml:space="preserve"> Zbog njih su signali u ssNMR spektrima obično prošireni i imaju znatno lošiju rezoluciju u usporedbi sa spektrima u otopini</w:t>
      </w:r>
      <w:r w:rsidR="00D81198" w:rsidRPr="00BB33A1">
        <w:t>.</w:t>
      </w:r>
      <w:r w:rsidR="00600589" w:rsidRPr="00BB33A1">
        <w:t xml:space="preserve"> </w:t>
      </w:r>
      <w:r w:rsidR="004F5A39" w:rsidRPr="00BB33A1">
        <w:t>Kod spektroskopije NMR čvrstog stanja potrebno je primijeniti određene tehnike kako bi se smanjile anizotropne interakcije, poboljšala rezolucija, povećala osjetljivost (omjer signal/šum) jezgri s malim magnetožirnim omjerom</w:t>
      </w:r>
      <w:r w:rsidR="00FB7914" w:rsidRPr="00BB33A1">
        <w:t xml:space="preserve"> (konstanta koja ovisi o magnetskom momentu ispitivane jezgre)</w:t>
      </w:r>
      <w:r w:rsidR="004F5A39" w:rsidRPr="00BB33A1">
        <w:t xml:space="preserve"> i prirodnom zastupljenošću, te skratilo vrijeme relaksacije i vremena potrebnog za eksperiment (povećanjem efikasnosti relaksacije spin-rešetka). Od tih se tehnika </w:t>
      </w:r>
      <w:r w:rsidR="00D81198" w:rsidRPr="00BB33A1">
        <w:t>posebno ističu vrtnja p</w:t>
      </w:r>
      <w:r w:rsidR="00D72DD6" w:rsidRPr="00BB33A1">
        <w:t>ri</w:t>
      </w:r>
      <w:r w:rsidR="00D81198" w:rsidRPr="00BB33A1">
        <w:t xml:space="preserve"> magičn</w:t>
      </w:r>
      <w:r w:rsidR="00C8089C" w:rsidRPr="00BB33A1">
        <w:t>o</w:t>
      </w:r>
      <w:r w:rsidR="00D81198" w:rsidRPr="00BB33A1">
        <w:t>m kut</w:t>
      </w:r>
      <w:r w:rsidR="00C8089C" w:rsidRPr="00BB33A1">
        <w:t>u</w:t>
      </w:r>
      <w:r w:rsidR="00D81198" w:rsidRPr="00BB33A1">
        <w:t xml:space="preserve"> (engl. </w:t>
      </w:r>
      <w:r w:rsidR="00D81198" w:rsidRPr="00BB33A1">
        <w:rPr>
          <w:i/>
          <w:iCs/>
        </w:rPr>
        <w:t>magic angle spinning</w:t>
      </w:r>
      <w:r w:rsidR="00D81198" w:rsidRPr="00BB33A1">
        <w:t>, MAS) te križna polarizacija (engl. cross–polarization, CP).</w:t>
      </w:r>
      <w:r w:rsidR="00600589" w:rsidRPr="00BB33A1">
        <w:t xml:space="preserve"> Uz tehnike za suzbijanje anizotropnih </w:t>
      </w:r>
      <w:r w:rsidR="008839D9" w:rsidRPr="00BB33A1">
        <w:t xml:space="preserve">i dipolarnih </w:t>
      </w:r>
      <w:r w:rsidR="00600589" w:rsidRPr="00BB33A1">
        <w:t xml:space="preserve">interakcija također postoje </w:t>
      </w:r>
      <w:r w:rsidR="00A27F4C" w:rsidRPr="00BB33A1">
        <w:t>moderne</w:t>
      </w:r>
      <w:r w:rsidR="00931F33" w:rsidRPr="00BB33A1">
        <w:t xml:space="preserve"> tehnike (engl. </w:t>
      </w:r>
      <w:r w:rsidR="00931F33" w:rsidRPr="00BB33A1">
        <w:rPr>
          <w:i/>
        </w:rPr>
        <w:t>recoupling</w:t>
      </w:r>
      <w:r w:rsidR="00931F33" w:rsidRPr="00BB33A1">
        <w:t xml:space="preserve">) kojima se selektivno, u određenom dijelu eksperimenta, ponovno uvode prethodno uklonjene anizotropne interakcije. Tako se uz zadržavanje rezolucije može dobiti strukturna </w:t>
      </w:r>
      <w:r w:rsidR="00B85648" w:rsidRPr="00BB33A1">
        <w:t>informacija sustava iz anizotropnih interakcija.</w:t>
      </w:r>
      <w:r w:rsidR="00E73690">
        <w:rPr>
          <w:vertAlign w:val="superscript"/>
        </w:rPr>
        <w:t>2,12,</w:t>
      </w:r>
      <w:r w:rsidR="00A44E35" w:rsidRPr="00BB33A1">
        <w:rPr>
          <w:vertAlign w:val="superscript"/>
        </w:rPr>
        <w:t>13</w:t>
      </w:r>
    </w:p>
    <w:p w14:paraId="74F47FA1" w14:textId="54659055" w:rsidR="00A4217A" w:rsidRDefault="00D96197" w:rsidP="00C27C97">
      <w:pPr>
        <w:pStyle w:val="OCJENSKIRADOVIOdlomak3NASTAVAKODLOMKA"/>
        <w:ind w:firstLine="720"/>
      </w:pPr>
      <w:r w:rsidRPr="00BB33A1">
        <w:t xml:space="preserve">Vrtnja </w:t>
      </w:r>
      <w:r w:rsidR="00D72DD6" w:rsidRPr="00BB33A1">
        <w:t>pri</w:t>
      </w:r>
      <w:r w:rsidRPr="00BB33A1">
        <w:t xml:space="preserve"> magičnim kutom </w:t>
      </w:r>
      <w:r w:rsidR="00D05C0B" w:rsidRPr="00BB33A1">
        <w:t xml:space="preserve">(MAS) </w:t>
      </w:r>
      <w:r w:rsidRPr="00BB33A1">
        <w:t xml:space="preserve">uklanja učinke anizotropije kemijskog pomaka te pomaže pri </w:t>
      </w:r>
      <w:r w:rsidR="00A25303" w:rsidRPr="00BB33A1">
        <w:t>smanjenju</w:t>
      </w:r>
      <w:r w:rsidRPr="00BB33A1">
        <w:t xml:space="preserve"> učinka heteronuklearnog i homonuklearnog dipolnog sprezanja. </w:t>
      </w:r>
      <w:r w:rsidR="00A62B61" w:rsidRPr="00BB33A1">
        <w:t xml:space="preserve">Uzorak se smjesti </w:t>
      </w:r>
      <w:r w:rsidR="00C753F2" w:rsidRPr="00BB33A1">
        <w:t xml:space="preserve">u cilindrični rotor </w:t>
      </w:r>
      <w:r w:rsidR="00A62B61" w:rsidRPr="00BB33A1">
        <w:t>duž osi z i rotira pod kut</w:t>
      </w:r>
      <w:r w:rsidR="001A1A93" w:rsidRPr="00BB33A1">
        <w:t>e</w:t>
      </w:r>
      <w:r w:rsidR="00A62B61" w:rsidRPr="00BB33A1">
        <w:t xml:space="preserve">m </w:t>
      </w:r>
      <w:r w:rsidR="00A62B61" w:rsidRPr="00BB33A1">
        <w:rPr>
          <w:i/>
          <w:iCs/>
        </w:rPr>
        <w:t xml:space="preserve">θ </w:t>
      </w:r>
      <w:r w:rsidR="00A62B61" w:rsidRPr="00BB33A1">
        <w:t xml:space="preserve">= 54,7° u odnosu na vektor primijenjenog magnetskog polja </w:t>
      </w:r>
      <w:r w:rsidR="00A62B61" w:rsidRPr="00BB33A1">
        <w:rPr>
          <w:i/>
          <w:iCs/>
        </w:rPr>
        <w:t>B</w:t>
      </w:r>
      <w:r w:rsidR="00A62B61" w:rsidRPr="00BB33A1">
        <w:rPr>
          <w:vertAlign w:val="subscript"/>
        </w:rPr>
        <w:t>0</w:t>
      </w:r>
      <w:r w:rsidR="008F1763" w:rsidRPr="00BB33A1">
        <w:t xml:space="preserve"> te se na taj način nastoji oponašati kretanje molekula u otopini</w:t>
      </w:r>
      <w:r w:rsidR="00B426BB" w:rsidRPr="00BB33A1">
        <w:t xml:space="preserve"> (slika 3)</w:t>
      </w:r>
      <w:r w:rsidR="008F1763" w:rsidRPr="00BB33A1">
        <w:t>.</w:t>
      </w:r>
      <w:r w:rsidR="00FD0E53" w:rsidRPr="00BB33A1">
        <w:t xml:space="preserve"> </w:t>
      </w:r>
    </w:p>
    <w:p w14:paraId="6FBA4785" w14:textId="77777777" w:rsidR="00C27C97" w:rsidRDefault="00C27C97" w:rsidP="00C27C97">
      <w:pPr>
        <w:pStyle w:val="OCJENSKIRADOVIOdlomak3NASTAVAKODLOMKA"/>
        <w:ind w:firstLine="720"/>
      </w:pPr>
    </w:p>
    <w:p w14:paraId="11461E95" w14:textId="77777777" w:rsidR="00C27C97" w:rsidRDefault="00C27C97" w:rsidP="00C27C97">
      <w:pPr>
        <w:pStyle w:val="OCJENSKIRADOVIOdlomak3NASTAVAKODLOMKA"/>
        <w:ind w:firstLine="720"/>
      </w:pPr>
    </w:p>
    <w:p w14:paraId="6137B82D" w14:textId="77777777" w:rsidR="00C27C97" w:rsidRDefault="00C27C97" w:rsidP="00C27C97">
      <w:pPr>
        <w:pStyle w:val="OCJENSKIRADOVIOdlomak3NASTAVAKODLOMKA"/>
        <w:ind w:firstLine="720"/>
      </w:pPr>
    </w:p>
    <w:p w14:paraId="1B61FBB4" w14:textId="77777777" w:rsidR="00C27C97" w:rsidRDefault="00C27C97" w:rsidP="00C27C97">
      <w:pPr>
        <w:pStyle w:val="OCJENSKIRADOVIOdlomak3NASTAVAKODLOMKA"/>
        <w:ind w:firstLine="720"/>
      </w:pPr>
    </w:p>
    <w:p w14:paraId="7A7EA13C" w14:textId="77777777" w:rsidR="00C27C97" w:rsidRPr="00BB33A1" w:rsidRDefault="00C27C97" w:rsidP="00C27C97">
      <w:pPr>
        <w:pStyle w:val="OCJENSKIRADOVIOdlomak3NASTAVAKODLOMKA"/>
        <w:ind w:firstLine="720"/>
      </w:pPr>
    </w:p>
    <w:p w14:paraId="5B8FD850" w14:textId="0A0D3C7A" w:rsidR="00B426BB" w:rsidRPr="00BB33A1" w:rsidRDefault="008D2662" w:rsidP="008D2662">
      <w:pPr>
        <w:pStyle w:val="OCJENSKIRADOVIOdlomak3NASTAVAKODLOMKA"/>
        <w:jc w:val="center"/>
      </w:pPr>
      <w:r w:rsidRPr="00BB33A1">
        <w:rPr>
          <w:noProof/>
        </w:rPr>
        <w:lastRenderedPageBreak/>
        <w:drawing>
          <wp:inline distT="0" distB="0" distL="0" distR="0" wp14:anchorId="38D5CE3E" wp14:editId="18B13523">
            <wp:extent cx="4703602" cy="2618740"/>
            <wp:effectExtent l="0" t="0" r="1905" b="0"/>
            <wp:docPr id="790450425" name="Slika 1" descr="Slika na kojoj se prikazuje dijagram, tekst, skeč, crt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50425" name="Slika 1" descr="Slika na kojoj se prikazuje dijagram, tekst, skeč, crta&#10;&#10;Sadržaj generiran umjetnom inteligencijom može biti netočan."/>
                    <pic:cNvPicPr/>
                  </pic:nvPicPr>
                  <pic:blipFill rotWithShape="1">
                    <a:blip r:embed="rId15"/>
                    <a:srcRect l="3638" t="9425" r="6534" b="6972"/>
                    <a:stretch/>
                  </pic:blipFill>
                  <pic:spPr bwMode="auto">
                    <a:xfrm>
                      <a:off x="0" y="0"/>
                      <a:ext cx="4714528" cy="2624823"/>
                    </a:xfrm>
                    <a:prstGeom prst="rect">
                      <a:avLst/>
                    </a:prstGeom>
                    <a:ln>
                      <a:noFill/>
                    </a:ln>
                    <a:extLst>
                      <a:ext uri="{53640926-AAD7-44D8-BBD7-CCE9431645EC}">
                        <a14:shadowObscured xmlns:a14="http://schemas.microsoft.com/office/drawing/2010/main"/>
                      </a:ext>
                    </a:extLst>
                  </pic:spPr>
                </pic:pic>
              </a:graphicData>
            </a:graphic>
          </wp:inline>
        </w:drawing>
      </w:r>
    </w:p>
    <w:p w14:paraId="722B35E2" w14:textId="25804266" w:rsidR="00B426BB" w:rsidRPr="00BB33A1" w:rsidRDefault="008D2662" w:rsidP="00DC25B3">
      <w:pPr>
        <w:pStyle w:val="OCJENSKIRADOVIOdlomak3NASTAVAKODLOMKA"/>
        <w:jc w:val="center"/>
      </w:pPr>
      <w:r w:rsidRPr="00BB33A1">
        <w:t>Slika 3. Vrtnja uzorka pri magičnom kutu</w:t>
      </w:r>
      <w:r w:rsidR="00541B63" w:rsidRPr="00BB33A1">
        <w:t xml:space="preserve"> unutar cilindričnog rotora</w:t>
      </w:r>
      <w:r w:rsidRPr="00BB33A1">
        <w:t xml:space="preserve">. Uzorak rotira </w:t>
      </w:r>
      <w:r w:rsidR="004B7415" w:rsidRPr="00BB33A1">
        <w:t xml:space="preserve">pri magičnim </w:t>
      </w:r>
      <w:r w:rsidRPr="00BB33A1">
        <w:t>kut</w:t>
      </w:r>
      <w:r w:rsidR="004B7415" w:rsidRPr="00BB33A1">
        <w:t>em</w:t>
      </w:r>
      <w:r w:rsidRPr="00BB33A1">
        <w:t xml:space="preserve"> </w:t>
      </w:r>
      <w:r w:rsidRPr="00BB33A1">
        <w:rPr>
          <w:i/>
          <w:iCs/>
        </w:rPr>
        <w:t>θ</w:t>
      </w:r>
      <w:r w:rsidRPr="00BB33A1">
        <w:rPr>
          <w:i/>
          <w:iCs/>
          <w:vertAlign w:val="subscript"/>
        </w:rPr>
        <w:t xml:space="preserve">R </w:t>
      </w:r>
      <w:r w:rsidRPr="00BB33A1">
        <w:t xml:space="preserve"> (kut rotacije uzorka oko osi vrtnje)</w:t>
      </w:r>
      <w:r w:rsidR="00DC25B3" w:rsidRPr="00BB33A1">
        <w:t xml:space="preserve"> u odnosu na primijenjeno magnetsko polje </w:t>
      </w:r>
      <w:r w:rsidR="00DC25B3" w:rsidRPr="00BB33A1">
        <w:rPr>
          <w:i/>
          <w:iCs/>
        </w:rPr>
        <w:t>B</w:t>
      </w:r>
      <w:r w:rsidR="00DC25B3" w:rsidRPr="00BB33A1">
        <w:rPr>
          <w:vertAlign w:val="subscript"/>
        </w:rPr>
        <w:t>0</w:t>
      </w:r>
      <w:r w:rsidR="00DC25B3" w:rsidRPr="00BB33A1">
        <w:t xml:space="preserve">. Tenzor zasjenjenja je prikazan elipsoidom, pri čemu je </w:t>
      </w:r>
      <w:r w:rsidR="00DC25B3" w:rsidRPr="00BB33A1">
        <w:rPr>
          <w:i/>
          <w:iCs/>
        </w:rPr>
        <w:t xml:space="preserve">θ </w:t>
      </w:r>
      <w:r w:rsidR="00DC25B3" w:rsidRPr="00BB33A1">
        <w:t xml:space="preserve">kut između </w:t>
      </w:r>
      <w:r w:rsidR="00DC25B3" w:rsidRPr="00BB33A1">
        <w:rPr>
          <w:i/>
          <w:iCs/>
        </w:rPr>
        <w:t>B</w:t>
      </w:r>
      <w:r w:rsidR="00DC25B3" w:rsidRPr="00BB33A1">
        <w:rPr>
          <w:vertAlign w:val="subscript"/>
        </w:rPr>
        <w:t>0</w:t>
      </w:r>
      <w:r w:rsidR="00DC25B3" w:rsidRPr="00BB33A1">
        <w:t xml:space="preserve"> i z osi tenzora zasjenjenja, a β kut između z osi tenzora zasjenjenja i osi oko koje rotira uzorak. Preuzeto i prilagođeno prema</w:t>
      </w:r>
      <w:r w:rsidR="00FF3EFF">
        <w:rPr>
          <w:vertAlign w:val="superscript"/>
        </w:rPr>
        <w:t>2</w:t>
      </w:r>
    </w:p>
    <w:p w14:paraId="033CA466" w14:textId="77777777" w:rsidR="00DC25B3" w:rsidRPr="00BB33A1" w:rsidRDefault="00DC25B3" w:rsidP="00B426BB">
      <w:pPr>
        <w:pStyle w:val="OCJENSKIRADOVIOdlomak3NASTAVAKODLOMKA"/>
      </w:pPr>
    </w:p>
    <w:p w14:paraId="74B3A721" w14:textId="070C704B" w:rsidR="00FD0E53" w:rsidRPr="00BB33A1" w:rsidRDefault="00FD0E53" w:rsidP="00B426BB">
      <w:pPr>
        <w:pStyle w:val="OCJENSKIRADOVIOdlomak3NASTAVAKODLOMKA"/>
      </w:pPr>
      <w:r w:rsidRPr="00BB33A1">
        <w:t>Prosječna ovisnost orijentacije interakcije nuklearnog spina (3cos</w:t>
      </w:r>
      <w:r w:rsidRPr="00BB33A1">
        <w:rPr>
          <w:vertAlign w:val="superscript"/>
        </w:rPr>
        <w:t>2</w:t>
      </w:r>
      <w:r w:rsidRPr="00BB33A1">
        <w:rPr>
          <w:i/>
          <w:iCs/>
        </w:rPr>
        <w:t xml:space="preserve"> θ </w:t>
      </w:r>
      <w:r w:rsidRPr="00BB33A1">
        <w:t>– 1) prikazana je izrazom:</w:t>
      </w:r>
    </w:p>
    <w:p w14:paraId="37CAB1BC" w14:textId="6A04A886" w:rsidR="00FD0E53" w:rsidRPr="00BB33A1" w:rsidRDefault="00FD0E53" w:rsidP="00FD0E53">
      <w:pPr>
        <w:pStyle w:val="OCJENSKIRADOVIOdlomak3NASTAVAKODLOMKA"/>
        <w:ind w:firstLine="720"/>
        <w:jc w:val="center"/>
      </w:pPr>
      <w:r w:rsidRPr="00BB33A1">
        <w:t xml:space="preserve">                                 </w:t>
      </w:r>
      <m:oMath>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θ-1</m:t>
            </m:r>
          </m:e>
        </m:d>
        <m:r>
          <w:rPr>
            <w:rFonts w:ascii="Cambria Math" w:hAnsi="Cambria Math"/>
          </w:rPr>
          <m:t xml:space="preserve">= </m:t>
        </m:r>
        <m:f>
          <m:fPr>
            <m:ctrlPr>
              <w:rPr>
                <w:rFonts w:ascii="Cambria Math" w:hAnsi="Cambria Math"/>
                <w:i/>
              </w:rPr>
            </m:ctrlPr>
          </m:fPr>
          <m:num>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θ</m:t>
                    </m:r>
                  </m:e>
                  <m:sub>
                    <m:r>
                      <w:rPr>
                        <w:rFonts w:ascii="Cambria Math" w:hAnsi="Cambria Math"/>
                      </w:rPr>
                      <m:t>R</m:t>
                    </m:r>
                  </m:sub>
                </m:sSub>
                <m:r>
                  <w:rPr>
                    <w:rFonts w:ascii="Cambria Math" w:hAnsi="Cambria Math"/>
                  </w:rPr>
                  <m:t>-1</m:t>
                </m:r>
              </m:e>
            </m:d>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β-1</m:t>
                </m:r>
              </m:e>
            </m:d>
          </m:num>
          <m:den>
            <m:r>
              <w:rPr>
                <w:rFonts w:ascii="Cambria Math" w:hAnsi="Cambria Math"/>
              </w:rPr>
              <m:t>2</m:t>
            </m:r>
          </m:den>
        </m:f>
      </m:oMath>
      <w:r w:rsidRPr="00BB33A1">
        <w:tab/>
      </w:r>
      <w:r w:rsidRPr="00BB33A1">
        <w:tab/>
        <w:t xml:space="preserve">                         (1)</w:t>
      </w:r>
    </w:p>
    <w:p w14:paraId="018DF29E" w14:textId="77777777" w:rsidR="00FF3EFF" w:rsidRDefault="00FF3EFF" w:rsidP="00344E30">
      <w:pPr>
        <w:pStyle w:val="OCJENSKIRADOVIOdlomak3NASTAVAKODLOMKA"/>
      </w:pPr>
    </w:p>
    <w:p w14:paraId="30D0E68B" w14:textId="77777777" w:rsidR="00FF3EFF" w:rsidRDefault="00344E30" w:rsidP="007E3BB2">
      <w:pPr>
        <w:pStyle w:val="OCJENSKIRADOVIOdlomak3NASTAVAKODLOMKA"/>
      </w:pPr>
      <w:r w:rsidRPr="00BB33A1">
        <w:t xml:space="preserve">pri čemu su: </w:t>
      </w:r>
      <w:r w:rsidRPr="00BB33A1">
        <w:rPr>
          <w:i/>
          <w:iCs/>
        </w:rPr>
        <w:t>θ</w:t>
      </w:r>
      <w:r w:rsidRPr="00BB33A1">
        <w:rPr>
          <w:i/>
          <w:iCs/>
          <w:vertAlign w:val="subscript"/>
        </w:rPr>
        <w:t xml:space="preserve">R </w:t>
      </w:r>
      <w:r w:rsidRPr="00BB33A1">
        <w:t xml:space="preserve">kut rotacije uzorka oko osi vrtnje, </w:t>
      </w:r>
      <w:r w:rsidRPr="00BB33A1">
        <w:rPr>
          <w:i/>
          <w:iCs/>
        </w:rPr>
        <w:t>B</w:t>
      </w:r>
      <w:r w:rsidRPr="00BB33A1">
        <w:rPr>
          <w:vertAlign w:val="subscript"/>
        </w:rPr>
        <w:t>0</w:t>
      </w:r>
      <w:r w:rsidRPr="00BB33A1">
        <w:t xml:space="preserve"> vektor primijenjenog magnetskog polja, </w:t>
      </w:r>
      <w:r w:rsidRPr="00BB33A1">
        <w:rPr>
          <w:i/>
          <w:iCs/>
        </w:rPr>
        <w:t xml:space="preserve">θ </w:t>
      </w:r>
      <w:r w:rsidRPr="00BB33A1">
        <w:t xml:space="preserve">kut između </w:t>
      </w:r>
      <w:r w:rsidRPr="00BB33A1">
        <w:rPr>
          <w:i/>
          <w:iCs/>
        </w:rPr>
        <w:t>B</w:t>
      </w:r>
      <w:r w:rsidRPr="00BB33A1">
        <w:rPr>
          <w:vertAlign w:val="subscript"/>
        </w:rPr>
        <w:t>0</w:t>
      </w:r>
      <w:r w:rsidRPr="00BB33A1">
        <w:t xml:space="preserve"> i z osi, β kut između z osi tenzora zasjenjenja i osi oko koje rotira uzorak.</w:t>
      </w:r>
    </w:p>
    <w:p w14:paraId="68BEE2DD" w14:textId="5BE097D7" w:rsidR="00AD485F" w:rsidRPr="00FF3EFF" w:rsidRDefault="007E3BB2" w:rsidP="00FF3EFF">
      <w:pPr>
        <w:pStyle w:val="OCJENSKIRADOVIOdlomak3NASTAVAKODLOMKA"/>
        <w:ind w:firstLine="720"/>
      </w:pPr>
      <w:r w:rsidRPr="00BB33A1">
        <w:t xml:space="preserve">Za optimalnu redukciju anizotropnih interakcija u spektroskopiji ssNMR, nužno je odabrati odgovarajuću brzinu vrtnje pod magičnim kutem pri kojoj je </w:t>
      </w:r>
      <w:r w:rsidR="001654DA" w:rsidRPr="00BB33A1">
        <w:t xml:space="preserve">linija (engl. </w:t>
      </w:r>
      <w:r w:rsidR="001654DA" w:rsidRPr="00BB33A1">
        <w:rPr>
          <w:i/>
          <w:iCs/>
        </w:rPr>
        <w:t>peak</w:t>
      </w:r>
      <w:r w:rsidR="001654DA" w:rsidRPr="00BB33A1">
        <w:t>)</w:t>
      </w:r>
      <w:r w:rsidRPr="00BB33A1">
        <w:t xml:space="preserve"> signala najuž</w:t>
      </w:r>
      <w:r w:rsidR="006A3526" w:rsidRPr="00BB33A1">
        <w:t>a</w:t>
      </w:r>
      <w:r w:rsidRPr="00BB33A1">
        <w:t>.</w:t>
      </w:r>
      <w:r w:rsidRPr="00BB33A1">
        <w:rPr>
          <w:lang w:eastAsia="en-GB"/>
        </w:rPr>
        <w:t xml:space="preserve"> </w:t>
      </w:r>
      <w:r w:rsidRPr="00BB33A1">
        <w:t xml:space="preserve">Ta brzina mora biti otprilike tri do četiri puta veća od intenziteta anizotropne interakcije koja se želi ukloniti. Ako </w:t>
      </w:r>
      <w:r w:rsidR="005D63BC" w:rsidRPr="00BB33A1">
        <w:t xml:space="preserve">brzina </w:t>
      </w:r>
      <w:r w:rsidRPr="00BB33A1">
        <w:t>vrtnj</w:t>
      </w:r>
      <w:r w:rsidR="005D63BC" w:rsidRPr="00BB33A1">
        <w:t>e</w:t>
      </w:r>
      <w:r w:rsidRPr="00BB33A1">
        <w:t xml:space="preserve"> nije d</w:t>
      </w:r>
      <w:r w:rsidR="00F64275" w:rsidRPr="00BB33A1">
        <w:t>ovoljna</w:t>
      </w:r>
      <w:r w:rsidR="00FA4F01" w:rsidRPr="00BB33A1">
        <w:t xml:space="preserve"> (frekvencija vrtnje je manja od anizotropije kemijskog pomaka)</w:t>
      </w:r>
      <w:r w:rsidRPr="00BB33A1">
        <w:t xml:space="preserve">, uz </w:t>
      </w:r>
      <w:r w:rsidR="001654DA" w:rsidRPr="00BB33A1">
        <w:t>liniju</w:t>
      </w:r>
      <w:r w:rsidRPr="00BB33A1">
        <w:t xml:space="preserve"> izotropnog kemijskog pomaka pojavljuju se dodatn</w:t>
      </w:r>
      <w:r w:rsidR="001654DA" w:rsidRPr="00BB33A1">
        <w:t>e</w:t>
      </w:r>
      <w:r w:rsidRPr="00BB33A1">
        <w:t xml:space="preserve"> </w:t>
      </w:r>
      <w:r w:rsidR="00C961BB" w:rsidRPr="00BB33A1">
        <w:t>bočn</w:t>
      </w:r>
      <w:r w:rsidR="001654DA" w:rsidRPr="00BB33A1">
        <w:t>e</w:t>
      </w:r>
      <w:r w:rsidR="00C961BB" w:rsidRPr="00BB33A1">
        <w:t xml:space="preserve"> </w:t>
      </w:r>
      <w:r w:rsidR="001654DA" w:rsidRPr="00BB33A1">
        <w:t>lin</w:t>
      </w:r>
      <w:r w:rsidR="00F667DE" w:rsidRPr="00BB33A1">
        <w:t>i</w:t>
      </w:r>
      <w:r w:rsidR="001654DA" w:rsidRPr="00BB33A1">
        <w:t>je</w:t>
      </w:r>
      <w:r w:rsidRPr="00BB33A1">
        <w:t xml:space="preserve">, tzv. </w:t>
      </w:r>
      <w:r w:rsidRPr="00BB33A1">
        <w:rPr>
          <w:i/>
          <w:iCs/>
        </w:rPr>
        <w:t>spinning sidebands</w:t>
      </w:r>
      <w:r w:rsidRPr="00BB33A1">
        <w:t>, koj</w:t>
      </w:r>
      <w:r w:rsidR="001654DA" w:rsidRPr="00BB33A1">
        <w:t>e</w:t>
      </w:r>
      <w:r w:rsidRPr="00BB33A1">
        <w:t xml:space="preserve"> nestaju pri višim brzinama vrtnje. Izotropn</w:t>
      </w:r>
      <w:r w:rsidR="001654DA" w:rsidRPr="00BB33A1">
        <w:t>a linija</w:t>
      </w:r>
      <w:r w:rsidRPr="00BB33A1">
        <w:t xml:space="preserve"> jedin</w:t>
      </w:r>
      <w:r w:rsidR="001654DA" w:rsidRPr="00BB33A1">
        <w:t>a</w:t>
      </w:r>
      <w:r w:rsidR="00F667DE" w:rsidRPr="00BB33A1">
        <w:t xml:space="preserve"> </w:t>
      </w:r>
      <w:r w:rsidRPr="00BB33A1">
        <w:t>ostaje nepromijenjen</w:t>
      </w:r>
      <w:r w:rsidR="001654DA" w:rsidRPr="00BB33A1">
        <w:t>a</w:t>
      </w:r>
      <w:r w:rsidRPr="00BB33A1">
        <w:t xml:space="preserve"> pri različitim brzinama vrtnje, što omogućuje nje</w:t>
      </w:r>
      <w:r w:rsidR="001654DA" w:rsidRPr="00BB33A1">
        <w:t>zino</w:t>
      </w:r>
      <w:r w:rsidR="00F667DE" w:rsidRPr="00BB33A1">
        <w:t xml:space="preserve"> određivanje</w:t>
      </w:r>
      <w:r w:rsidRPr="00BB33A1">
        <w:t>.</w:t>
      </w:r>
      <w:r w:rsidR="00F667DE" w:rsidRPr="00BB33A1">
        <w:t xml:space="preserve"> </w:t>
      </w:r>
      <w:r w:rsidRPr="00BB33A1">
        <w:t>U slučajevima kada se ne može postići dovoljna brzina vrtnje, koristi se posebni pulsni slijed TOSS (</w:t>
      </w:r>
      <w:r w:rsidR="00F667DE" w:rsidRPr="00BB33A1">
        <w:t xml:space="preserve">engl. </w:t>
      </w:r>
      <w:r w:rsidRPr="00BB33A1">
        <w:rPr>
          <w:i/>
          <w:iCs/>
        </w:rPr>
        <w:t>Total Suppression of Spinning Sidebands</w:t>
      </w:r>
      <w:r w:rsidRPr="00BB33A1">
        <w:t xml:space="preserve">), koji uključuje početni 90° puls za generiranje transverzalne magnetizacije, praćen nizom 180° pulseva koji </w:t>
      </w:r>
      <w:r w:rsidRPr="00BB33A1">
        <w:lastRenderedPageBreak/>
        <w:t xml:space="preserve">rotiraju magnetizaciju </w:t>
      </w:r>
      <w:r w:rsidR="002E4A5F" w:rsidRPr="00BB33A1">
        <w:t xml:space="preserve">oko osi x </w:t>
      </w:r>
      <w:r w:rsidRPr="00BB33A1">
        <w:t xml:space="preserve">i time uklanjaju artefakte </w:t>
      </w:r>
      <w:r w:rsidR="00F64275" w:rsidRPr="00BB33A1">
        <w:t>(lažne signale</w:t>
      </w:r>
      <w:r w:rsidR="00C03580" w:rsidRPr="00BB33A1">
        <w:t>, odnosno spektralne smetnje</w:t>
      </w:r>
      <w:r w:rsidR="00F64275" w:rsidRPr="00BB33A1">
        <w:t xml:space="preserve">) </w:t>
      </w:r>
      <w:r w:rsidRPr="00BB33A1">
        <w:t>uzrokovane nedovoljnom vrtnjom.</w:t>
      </w:r>
      <w:r w:rsidR="002E4A5F" w:rsidRPr="00BB33A1">
        <w:t xml:space="preserve"> </w:t>
      </w:r>
      <w:r w:rsidRPr="00BB33A1">
        <w:t xml:space="preserve">Iako je cilj ukloniti </w:t>
      </w:r>
      <w:r w:rsidRPr="00BB33A1">
        <w:rPr>
          <w:i/>
          <w:iCs/>
        </w:rPr>
        <w:t>spinning sidebands</w:t>
      </w:r>
      <w:r w:rsidRPr="00BB33A1">
        <w:t>, oni se mogu i iskoristiti za dobivanje informacija o prirodi anizotropnih interakcija. Kritično je i precizno postavljanje magičnog kuta (</w:t>
      </w:r>
      <w:r w:rsidRPr="00BB33A1">
        <w:rPr>
          <w:i/>
          <w:iCs/>
        </w:rPr>
        <w:t>θ</w:t>
      </w:r>
      <w:r w:rsidRPr="00BB33A1">
        <w:t xml:space="preserve"> ≈ 54,7°), jer odstupanja uzrokuju proširenje </w:t>
      </w:r>
      <w:r w:rsidR="001654DA" w:rsidRPr="00BB33A1">
        <w:t>linija</w:t>
      </w:r>
      <w:r w:rsidR="00F667DE" w:rsidRPr="00BB33A1">
        <w:t xml:space="preserve"> </w:t>
      </w:r>
      <w:r w:rsidRPr="00BB33A1">
        <w:t>u spektru. Za pravilno po</w:t>
      </w:r>
      <w:r w:rsidR="00F667DE" w:rsidRPr="00BB33A1">
        <w:t>stavljanj</w:t>
      </w:r>
      <w:r w:rsidRPr="00BB33A1">
        <w:t xml:space="preserve">e, koristi se uzorak s izraženim signalima pri umjerenoj brzini vrtnje (~3 Hz), snima se više spektara, odabire se spektralno najintenzivniji središnji signal i podešava frekvencija rezonancije. Kada je kut optimalno postavljen, moguće je detektirati desetak ili više </w:t>
      </w:r>
      <w:r w:rsidRPr="00BB33A1">
        <w:rPr>
          <w:i/>
          <w:iCs/>
        </w:rPr>
        <w:t>spinning sidebands</w:t>
      </w:r>
      <w:r w:rsidRPr="00BB33A1">
        <w:t xml:space="preserve"> sa svake strane </w:t>
      </w:r>
      <w:r w:rsidR="00DC4557" w:rsidRPr="00BB33A1">
        <w:t>središnjeg signala.</w:t>
      </w:r>
      <w:r w:rsidR="00FF3EFF">
        <w:rPr>
          <w:vertAlign w:val="superscript"/>
        </w:rPr>
        <w:t>2</w:t>
      </w:r>
      <w:r w:rsidR="00CC2206" w:rsidRPr="00BB33A1">
        <w:rPr>
          <w:vertAlign w:val="superscript"/>
        </w:rPr>
        <w:t>,12</w:t>
      </w:r>
      <w:r w:rsidR="00501423" w:rsidRPr="00BB33A1">
        <w:t xml:space="preserve"> </w:t>
      </w:r>
    </w:p>
    <w:p w14:paraId="64C9DFE1" w14:textId="0D085F1C" w:rsidR="00EE2E74" w:rsidRPr="00FF3EFF" w:rsidRDefault="00D96197" w:rsidP="000A1112">
      <w:pPr>
        <w:pStyle w:val="OCJENSKIRADOVIOdlomak3NASTAVAKODLOMKA"/>
        <w:ind w:firstLine="720"/>
      </w:pPr>
      <w:r w:rsidRPr="00BB33A1">
        <w:t xml:space="preserve">Križna polarizacija </w:t>
      </w:r>
      <w:r w:rsidR="00472685" w:rsidRPr="00BB33A1">
        <w:t xml:space="preserve">(CP) </w:t>
      </w:r>
      <w:r w:rsidRPr="00BB33A1">
        <w:t>je iduća najčešće korištena tehnika kod ssNMR-a</w:t>
      </w:r>
      <w:r w:rsidR="0077588C" w:rsidRPr="00BB33A1">
        <w:t xml:space="preserve">, koja se primjenjuje zbog olakšavanja snimanja spektara </w:t>
      </w:r>
      <w:r w:rsidR="00945931" w:rsidRPr="00BB33A1">
        <w:t xml:space="preserve">i poboljšavanja signala </w:t>
      </w:r>
      <w:r w:rsidR="0077588C" w:rsidRPr="00BB33A1">
        <w:t>uzoraka</w:t>
      </w:r>
      <w:r w:rsidR="00945931" w:rsidRPr="00BB33A1">
        <w:t xml:space="preserve"> </w:t>
      </w:r>
      <w:r w:rsidR="0077588C" w:rsidRPr="00BB33A1">
        <w:t xml:space="preserve">kod kojih je mala vjerojatnost prisutnosti više od jedne magnetski aktivne jezgre unutar molekule. </w:t>
      </w:r>
      <w:r w:rsidR="00945931" w:rsidRPr="00BB33A1">
        <w:t xml:space="preserve">Odnosno, CP tehnika omogućuje prijenos magnetizacije </w:t>
      </w:r>
      <w:r w:rsidR="00FF5E92" w:rsidRPr="00BB33A1">
        <w:t xml:space="preserve">putem heteronuklearnih dipolarnih interakcija </w:t>
      </w:r>
      <w:r w:rsidR="00945931" w:rsidRPr="00BB33A1">
        <w:t xml:space="preserve">s jezgri visoke prirodne zastupljenosti i visokog magnetožirnog omjera </w:t>
      </w:r>
      <w:r w:rsidR="00F867C5" w:rsidRPr="00BB33A1">
        <w:t>(</w:t>
      </w:r>
      <w:r w:rsidR="00F867C5" w:rsidRPr="00BB33A1">
        <w:rPr>
          <w:vertAlign w:val="superscript"/>
        </w:rPr>
        <w:t>1</w:t>
      </w:r>
      <w:r w:rsidR="00F867C5" w:rsidRPr="00BB33A1">
        <w:t xml:space="preserve">H) </w:t>
      </w:r>
      <w:r w:rsidR="00945931" w:rsidRPr="00BB33A1">
        <w:t xml:space="preserve">na manje </w:t>
      </w:r>
      <w:r w:rsidR="00702703" w:rsidRPr="00BB33A1">
        <w:t>zastupljene</w:t>
      </w:r>
      <w:r w:rsidR="00945931" w:rsidRPr="00BB33A1">
        <w:t xml:space="preserve"> magnetski aktivne jezgre</w:t>
      </w:r>
      <w:r w:rsidR="00F867C5" w:rsidRPr="00BB33A1">
        <w:t xml:space="preserve"> (npr. </w:t>
      </w:r>
      <w:r w:rsidR="00F867C5" w:rsidRPr="00BB33A1">
        <w:rPr>
          <w:vertAlign w:val="superscript"/>
        </w:rPr>
        <w:t>13</w:t>
      </w:r>
      <w:r w:rsidR="00F867C5" w:rsidRPr="00BB33A1">
        <w:t>C)</w:t>
      </w:r>
      <w:r w:rsidR="00945931" w:rsidRPr="00BB33A1">
        <w:t>.</w:t>
      </w:r>
      <w:r w:rsidR="008A1AB9" w:rsidRPr="00BB33A1">
        <w:t xml:space="preserve"> </w:t>
      </w:r>
      <w:r w:rsidR="00FA4F01" w:rsidRPr="00BB33A1">
        <w:t xml:space="preserve">Najveće moguće povećanje intenziteta signala odgovara omjeru žiromagnetskih konstanti </w:t>
      </w:r>
      <w:r w:rsidR="0049544B" w:rsidRPr="00BB33A1">
        <w:t>dviju jezgri.</w:t>
      </w:r>
      <w:r w:rsidR="00EB0D2A" w:rsidRPr="00BB33A1">
        <w:t xml:space="preserve"> </w:t>
      </w:r>
      <w:r w:rsidR="005B68E8" w:rsidRPr="00BB33A1">
        <w:t xml:space="preserve">Pri snimanju spektara slabo zastupljenih jezgri </w:t>
      </w:r>
      <w:r w:rsidR="00B56CD7" w:rsidRPr="00BB33A1">
        <w:t xml:space="preserve">(X) </w:t>
      </w:r>
      <w:r w:rsidR="005B68E8" w:rsidRPr="00BB33A1">
        <w:t>veliki problem često predstavlja nepovoljan omjer signala i šuma te duga relaksacijska vremena, zbog kojih je potrebno između pojedinih snimanja uvesti pauze koje mogu trajati i do nekoliko minuta. Pulsni slijed križne pola</w:t>
      </w:r>
      <w:r w:rsidR="00B56CD7" w:rsidRPr="00BB33A1">
        <w:t>riz</w:t>
      </w:r>
      <w:r w:rsidR="005B68E8" w:rsidRPr="00BB33A1">
        <w:t xml:space="preserve">acije </w:t>
      </w:r>
      <w:r w:rsidR="00EE2E74" w:rsidRPr="00BB33A1">
        <w:t xml:space="preserve">(slika 4.) </w:t>
      </w:r>
      <w:r w:rsidR="005B68E8" w:rsidRPr="00BB33A1">
        <w:t xml:space="preserve">učinkovito prevladava probleme niske osjetljivosti </w:t>
      </w:r>
      <w:r w:rsidR="000A4B37" w:rsidRPr="00BB33A1">
        <w:t xml:space="preserve">i dugih relaksacijskih vremena kod prirodno slabo zastupljenih jezgri na način da omogućuje prijenos magnetizacije s protona na ciljanu jezgru. Može se zamisliti da se spinski sustavi obje jezgre nalaze u rotirajućem koordinatnom sustavu oko z-osi, koja odgovara smjeru vanjskog magnetskog polja </w:t>
      </w:r>
      <w:r w:rsidR="000A4B37" w:rsidRPr="00BB33A1">
        <w:rPr>
          <w:i/>
          <w:iCs/>
        </w:rPr>
        <w:t>B</w:t>
      </w:r>
      <w:r w:rsidR="000A4B37" w:rsidRPr="00BB33A1">
        <w:rPr>
          <w:vertAlign w:val="subscript"/>
        </w:rPr>
        <w:t>0</w:t>
      </w:r>
      <w:r w:rsidR="000A4B37" w:rsidRPr="00BB33A1">
        <w:t>.</w:t>
      </w:r>
      <w:r w:rsidR="00FF3EFF">
        <w:rPr>
          <w:vertAlign w:val="superscript"/>
        </w:rPr>
        <w:t>2</w:t>
      </w:r>
    </w:p>
    <w:p w14:paraId="73FE492E" w14:textId="1FF6FA0A" w:rsidR="00EE2E74" w:rsidRPr="00BB33A1" w:rsidRDefault="00684814" w:rsidP="00EE2E74">
      <w:pPr>
        <w:pStyle w:val="OCJENSKIRADOVIOdlomak3NASTAVAKODLOMKA"/>
        <w:jc w:val="center"/>
      </w:pPr>
      <w:r w:rsidRPr="00BB33A1">
        <w:rPr>
          <w:noProof/>
        </w:rPr>
        <w:drawing>
          <wp:inline distT="0" distB="0" distL="0" distR="0" wp14:anchorId="60E32567" wp14:editId="01D3D949">
            <wp:extent cx="3524250" cy="2193845"/>
            <wp:effectExtent l="0" t="0" r="0" b="0"/>
            <wp:docPr id="1985022572" name="Slika 3" descr="Slika na kojoj se prikazuje snimka zaslona, dijagram, tekst, crt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22572" name="Slika 3" descr="Slika na kojoj se prikazuje snimka zaslona, dijagram, tekst, crta&#10;&#10;Sadržaj generiran umjetnom inteligencijom može biti netočan."/>
                    <pic:cNvPicPr/>
                  </pic:nvPicPr>
                  <pic:blipFill rotWithShape="1">
                    <a:blip r:embed="rId16"/>
                    <a:srcRect l="18190" t="7814" r="15666" b="50791"/>
                    <a:stretch/>
                  </pic:blipFill>
                  <pic:spPr bwMode="auto">
                    <a:xfrm>
                      <a:off x="0" y="0"/>
                      <a:ext cx="3535922" cy="2201111"/>
                    </a:xfrm>
                    <a:prstGeom prst="rect">
                      <a:avLst/>
                    </a:prstGeom>
                    <a:ln>
                      <a:noFill/>
                    </a:ln>
                    <a:extLst>
                      <a:ext uri="{53640926-AAD7-44D8-BBD7-CCE9431645EC}">
                        <a14:shadowObscured xmlns:a14="http://schemas.microsoft.com/office/drawing/2010/main"/>
                      </a:ext>
                    </a:extLst>
                  </pic:spPr>
                </pic:pic>
              </a:graphicData>
            </a:graphic>
          </wp:inline>
        </w:drawing>
      </w:r>
    </w:p>
    <w:p w14:paraId="3FAD5269" w14:textId="07EB07FD" w:rsidR="00EE2E74" w:rsidRPr="00B24EC0" w:rsidRDefault="00EE2E74" w:rsidP="000A1112">
      <w:pPr>
        <w:pStyle w:val="OCJENSKIRADOVIOdlomak3NASTAVAKODLOMKA"/>
        <w:jc w:val="center"/>
      </w:pPr>
      <w:r w:rsidRPr="00BB33A1">
        <w:t>Slika 4. Pulsni slijed križne polarizacije</w:t>
      </w:r>
      <w:r w:rsidR="00B24EC0">
        <w:t xml:space="preserve">. </w:t>
      </w:r>
      <w:r w:rsidR="00B24EC0" w:rsidRPr="00BB33A1">
        <w:t>Preuzeto i prilagođeno prema</w:t>
      </w:r>
      <w:r w:rsidR="00B24EC0">
        <w:rPr>
          <w:vertAlign w:val="superscript"/>
        </w:rPr>
        <w:t>2</w:t>
      </w:r>
    </w:p>
    <w:p w14:paraId="4852014A" w14:textId="77777777" w:rsidR="00FF3EFF" w:rsidRPr="00BB33A1" w:rsidRDefault="00FF3EFF" w:rsidP="000A1112">
      <w:pPr>
        <w:pStyle w:val="OCJENSKIRADOVIOdlomak3NASTAVAKODLOMKA"/>
        <w:jc w:val="center"/>
      </w:pPr>
    </w:p>
    <w:p w14:paraId="796D14BD" w14:textId="1FC54B1B" w:rsidR="001E5FA3" w:rsidRPr="00BB33A1" w:rsidRDefault="000A4B37" w:rsidP="00EE2E74">
      <w:pPr>
        <w:pStyle w:val="OCJENSKIRADOVIOdlomak3NASTAVAKODLOMKA"/>
      </w:pPr>
      <w:r w:rsidRPr="00BB33A1">
        <w:lastRenderedPageBreak/>
        <w:t>U početnoj fazi eksperimenta, primjenjuje se inicijalni puls koji generira transverzalnu magnetizaciju usmjerenu duž -y osi. Nakon toga, na obje se jezgre istovremeno primijeni kontaktni puls kako bi se ta magnetizacija stabilizirala i održala u istom smjeru, čime se omogućuje učinkoviti prijenos signalne informacije.</w:t>
      </w:r>
      <w:r w:rsidR="00B56CD7" w:rsidRPr="00BB33A1">
        <w:t xml:space="preserve"> Za razumijevanje mehanizma prijenosa magnetizacije u križnoj polarizaciji, koristi se koncept dvostruko rotirajućeg referentnog sustava u kojem se radiofrekvencijski impulsi primijenjeni na obje vrste jezgri (¹H i X) čine statičnima duž y-osi tijekom trajanja kontaktnog pulsa. U tom sustavu, u trenutku početka kontaktnog pulsa jezgre X još uvijek nisu polarizirane.</w:t>
      </w:r>
      <w:r w:rsidR="00D2379F" w:rsidRPr="00BB33A1">
        <w:t xml:space="preserve"> </w:t>
      </w:r>
      <w:r w:rsidR="00B56CD7" w:rsidRPr="00BB33A1">
        <w:t>Prijenos magnetizacije između jezgri omogućuje dipolna sprega, koja djeluje kroz komponente okomite na kvantizacijsku os spina. Budući da ti operatori ne mogu mijenjati ukupnu polarizaciju duž glavne osi magnetskog polja niti ukupnu energiju spinskog sustava, prijenos magnetizacije se odvija u obliku kompenzacijskih promjena</w:t>
      </w:r>
      <w:r w:rsidR="00D2379F" w:rsidRPr="00BB33A1">
        <w:t xml:space="preserve"> –</w:t>
      </w:r>
      <w:r w:rsidR="00B56CD7" w:rsidRPr="00BB33A1">
        <w:t xml:space="preserve"> rotacija jednog spina (</w:t>
      </w:r>
      <w:r w:rsidR="00FF3EFF" w:rsidRPr="00FF3EFF">
        <w:rPr>
          <w:vertAlign w:val="superscript"/>
        </w:rPr>
        <w:t>1</w:t>
      </w:r>
      <w:r w:rsidR="00B56CD7" w:rsidRPr="00BB33A1">
        <w:t xml:space="preserve">H) uzrokuje istovremenu i suprotnu promjenu drugog </w:t>
      </w:r>
      <w:r w:rsidR="00D2379F" w:rsidRPr="00BB33A1">
        <w:t xml:space="preserve">spina </w:t>
      </w:r>
      <w:r w:rsidR="00B56CD7" w:rsidRPr="00BB33A1">
        <w:t>(X). Taj proces je energetski uravnotežen, odnosno neto promjena energije iznosi nula. Kada su frekvencije rotacije u oba sustava izjednačene, što se postiže ispunjenjem Hartmann–Hahnovog uvjeta,</w:t>
      </w:r>
      <w:r w:rsidR="00D2379F" w:rsidRPr="00BB33A1">
        <w:t xml:space="preserve"> </w:t>
      </w:r>
      <w:r w:rsidR="00B56CD7" w:rsidRPr="00BB33A1">
        <w:t xml:space="preserve">prijenos magnetizacije </w:t>
      </w:r>
      <w:r w:rsidR="00D2379F" w:rsidRPr="00BB33A1">
        <w:t xml:space="preserve">je </w:t>
      </w:r>
      <w:r w:rsidR="00B56CD7" w:rsidRPr="00BB33A1">
        <w:t>najdjelotvorniji.</w:t>
      </w:r>
      <w:r w:rsidR="001E5FA3" w:rsidRPr="00BB33A1">
        <w:t xml:space="preserve"> Hartmann-Hahnov uvjet je prikazan izrazom (2)</w:t>
      </w:r>
      <w:r w:rsidR="00230C63">
        <w:t>:</w:t>
      </w:r>
      <w:r w:rsidR="001E5FA3" w:rsidRPr="00BB33A1">
        <w:t xml:space="preserve"> </w:t>
      </w:r>
    </w:p>
    <w:p w14:paraId="09FB973F" w14:textId="6EDF0E2B" w:rsidR="00230C63" w:rsidRDefault="001E5FA3" w:rsidP="00230C63">
      <w:pPr>
        <w:pStyle w:val="OCJENSKIRADOVIOdlomak3NASTAVAKODLOMKA"/>
        <w:ind w:firstLine="720"/>
        <w:jc w:val="center"/>
      </w:pPr>
      <w:r w:rsidRPr="00BB33A1">
        <w:t xml:space="preserve">                         </w:t>
      </w:r>
      <w:r w:rsidR="00F12F7F" w:rsidRPr="00BB33A1">
        <w:t xml:space="preserve">   </w:t>
      </w:r>
      <w:r w:rsidRPr="00BB33A1">
        <w:t xml:space="preserve">        </w:t>
      </w:r>
      <w:r w:rsidR="00F12F7F" w:rsidRPr="00BB33A1">
        <w:t xml:space="preserve">      </w:t>
      </w:r>
      <m:oMath>
        <m:sSub>
          <m:sSubPr>
            <m:ctrlPr>
              <w:rPr>
                <w:rFonts w:ascii="Cambria Math" w:hAnsi="Cambria Math"/>
                <w:i/>
              </w:rPr>
            </m:ctrlPr>
          </m:sSubPr>
          <m:e>
            <m:r>
              <w:rPr>
                <w:rFonts w:ascii="Cambria Math" w:hAnsi="Cambria Math"/>
              </w:rPr>
              <m:t>γ</m:t>
            </m:r>
          </m:e>
          <m:sub>
            <m:sSub>
              <m:sSubPr>
                <m:ctrlPr>
                  <w:rPr>
                    <w:rFonts w:ascii="Cambria Math" w:hAnsi="Cambria Math"/>
                    <w:i/>
                  </w:rPr>
                </m:ctrlPr>
              </m:sSubPr>
              <m:e>
                <m:r>
                  <w:rPr>
                    <w:rFonts w:ascii="Cambria Math" w:hAnsi="Cambria Math"/>
                  </w:rPr>
                  <m:t>1</m:t>
                </m:r>
              </m:e>
              <m:sub>
                <m:r>
                  <w:rPr>
                    <w:rFonts w:ascii="Cambria Math" w:hAnsi="Cambria Math"/>
                  </w:rPr>
                  <m:t>H</m:t>
                </m:r>
              </m:sub>
            </m:sSub>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r>
          <m:rPr>
            <m:sty m:val="p"/>
          </m:rPr>
          <w:rPr>
            <w:rFonts w:ascii="Cambria Math" w:hAnsi="Cambria Math"/>
          </w:rPr>
          <m:t>¹H</m:t>
        </m:r>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r>
          <m:rPr>
            <m:sty m:val="p"/>
          </m:rPr>
          <w:rPr>
            <w:rFonts w:ascii="Cambria Math" w:hAnsi="Cambria Math"/>
          </w:rPr>
          <m:t>X</m:t>
        </m:r>
        <m:r>
          <w:rPr>
            <w:rFonts w:ascii="Cambria Math" w:hAnsi="Cambria Math"/>
          </w:rPr>
          <m:t>)</m:t>
        </m:r>
      </m:oMath>
      <w:r w:rsidRPr="00BB33A1">
        <w:tab/>
      </w:r>
      <w:r w:rsidRPr="00BB33A1">
        <w:tab/>
        <w:t xml:space="preserve">                      </w:t>
      </w:r>
      <w:r w:rsidR="00F12F7F" w:rsidRPr="00BB33A1">
        <w:t xml:space="preserve">    </w:t>
      </w:r>
      <w:r w:rsidRPr="00BB33A1">
        <w:t>(2)</w:t>
      </w:r>
    </w:p>
    <w:p w14:paraId="7E2F6CC5" w14:textId="77777777" w:rsidR="00230C63" w:rsidRDefault="00230C63" w:rsidP="00230C63">
      <w:pPr>
        <w:pStyle w:val="OCJENSKIRADOVIOdlomak3NASTAVAKODLOMKA"/>
        <w:ind w:firstLine="720"/>
        <w:jc w:val="center"/>
      </w:pPr>
    </w:p>
    <w:p w14:paraId="3F11AC6D" w14:textId="7C13553F" w:rsidR="001E5FA3" w:rsidRPr="00BB33A1" w:rsidRDefault="001E5FA3" w:rsidP="001E5FA3">
      <w:pPr>
        <w:pStyle w:val="OCJENSKIRADOVIOdlomak3NASTAVAKODLOMKA"/>
      </w:pPr>
      <w:r w:rsidRPr="00BB33A1">
        <w:t xml:space="preserve">pri čemu </w:t>
      </w:r>
      <w:r w:rsidR="00A152D5" w:rsidRPr="00BB33A1">
        <w:t xml:space="preserve">su </w:t>
      </w:r>
      <m:oMath>
        <m:sSub>
          <m:sSubPr>
            <m:ctrlPr>
              <w:rPr>
                <w:rFonts w:ascii="Cambria Math" w:hAnsi="Cambria Math"/>
                <w:i/>
              </w:rPr>
            </m:ctrlPr>
          </m:sSubPr>
          <m:e>
            <m:r>
              <w:rPr>
                <w:rFonts w:ascii="Cambria Math" w:hAnsi="Cambria Math"/>
              </w:rPr>
              <m:t>γ</m:t>
            </m:r>
          </m:e>
          <m:sub>
            <m:r>
              <w:rPr>
                <w:rFonts w:ascii="Cambria Math" w:hAnsi="Cambria Math"/>
              </w:rPr>
              <m:t>X</m:t>
            </m:r>
          </m:sub>
        </m:sSub>
      </m:oMath>
      <w:r w:rsidR="002734F5" w:rsidRPr="00BB33A1">
        <w:t xml:space="preserve"> i </w:t>
      </w:r>
      <m:oMath>
        <m:sSub>
          <m:sSubPr>
            <m:ctrlPr>
              <w:rPr>
                <w:rFonts w:ascii="Cambria Math" w:hAnsi="Cambria Math"/>
                <w:i/>
              </w:rPr>
            </m:ctrlPr>
          </m:sSubPr>
          <m:e>
            <m:r>
              <w:rPr>
                <w:rFonts w:ascii="Cambria Math" w:hAnsi="Cambria Math"/>
              </w:rPr>
              <m:t>γ</m:t>
            </m:r>
          </m:e>
          <m:sub>
            <m:sSub>
              <m:sSubPr>
                <m:ctrlPr>
                  <w:rPr>
                    <w:rFonts w:ascii="Cambria Math" w:hAnsi="Cambria Math"/>
                    <w:i/>
                  </w:rPr>
                </m:ctrlPr>
              </m:sSubPr>
              <m:e>
                <m:r>
                  <w:rPr>
                    <w:rFonts w:ascii="Cambria Math" w:hAnsi="Cambria Math"/>
                  </w:rPr>
                  <m:t>1</m:t>
                </m:r>
              </m:e>
              <m:sub>
                <m:r>
                  <w:rPr>
                    <w:rFonts w:ascii="Cambria Math" w:hAnsi="Cambria Math"/>
                  </w:rPr>
                  <m:t>H</m:t>
                </m:r>
              </m:sub>
            </m:sSub>
          </m:sub>
        </m:sSub>
      </m:oMath>
      <w:r w:rsidR="002734F5" w:rsidRPr="00BB33A1">
        <w:t xml:space="preserve"> žiromagnetski omjeri za jezgre X i </w:t>
      </w:r>
      <w:r w:rsidR="007F0A92">
        <w:rPr>
          <w:vertAlign w:val="superscript"/>
        </w:rPr>
        <w:t>1</w:t>
      </w:r>
      <w:r w:rsidR="002734F5" w:rsidRPr="00BB33A1">
        <w:t>H,</w:t>
      </w:r>
      <w:r w:rsidR="00F12F7F" w:rsidRPr="00BB33A1">
        <w:t xml:space="preserve"> a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00F12F7F" w:rsidRPr="00BB33A1">
        <w:t xml:space="preserve">(X) </w:t>
      </w:r>
      <w:r w:rsidR="002734F5" w:rsidRPr="00BB33A1">
        <w:t xml:space="preserve">i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 xml:space="preserve"> </m:t>
        </m:r>
      </m:oMath>
      <w:r w:rsidR="00F12F7F" w:rsidRPr="00BB33A1">
        <w:t>(¹H)</w:t>
      </w:r>
      <w:r w:rsidR="002734F5" w:rsidRPr="00BB33A1">
        <w:t xml:space="preserve"> radiofrekvencijsk</w:t>
      </w:r>
      <w:r w:rsidR="00F12F7F" w:rsidRPr="00BB33A1">
        <w:t>a</w:t>
      </w:r>
      <w:r w:rsidR="002734F5" w:rsidRPr="00BB33A1">
        <w:t xml:space="preserve"> polja</w:t>
      </w:r>
      <w:r w:rsidR="00F12F7F" w:rsidRPr="00BB33A1">
        <w:t xml:space="preserve"> </w:t>
      </w:r>
      <w:r w:rsidR="007F0A92" w:rsidRPr="007F0A92">
        <w:rPr>
          <w:vertAlign w:val="superscript"/>
        </w:rPr>
        <w:t>1</w:t>
      </w:r>
      <w:r w:rsidR="00F12F7F" w:rsidRPr="00BB33A1">
        <w:t>H i jezgre X</w:t>
      </w:r>
      <w:r w:rsidR="002734F5" w:rsidRPr="00BB33A1">
        <w:t>.</w:t>
      </w:r>
      <w:r w:rsidR="00230C63">
        <w:rPr>
          <w:vertAlign w:val="superscript"/>
        </w:rPr>
        <w:t>2</w:t>
      </w:r>
    </w:p>
    <w:p w14:paraId="07972F60" w14:textId="326BAF96" w:rsidR="00AA02A8" w:rsidRPr="00BB33A1" w:rsidRDefault="00D2379F" w:rsidP="000B0D4B">
      <w:pPr>
        <w:pStyle w:val="OCJENSKIRADOVIOdlomak3NASTAVAKODLOMKA"/>
        <w:ind w:firstLine="720"/>
      </w:pPr>
      <w:r w:rsidRPr="00BB33A1">
        <w:t>Prije provođenja križne polarizacije na</w:t>
      </w:r>
      <w:r w:rsidR="00D81791" w:rsidRPr="00BB33A1">
        <w:t xml:space="preserve"> </w:t>
      </w:r>
      <w:r w:rsidRPr="00BB33A1">
        <w:t xml:space="preserve">uzorku, eksperimentalni uvjeti se optimiziraju pomoću standardnog referentnog uzorka, koji mora sadržavati obje vrste jezgri u </w:t>
      </w:r>
      <w:r w:rsidR="007200CB" w:rsidRPr="00BB33A1">
        <w:t>razumnoj</w:t>
      </w:r>
      <w:r w:rsidRPr="00BB33A1">
        <w:t xml:space="preserve"> koncentraciji i međusobnoj prostornoj blizini. Takav uzorak omogućuje dobar prijenos polarizacije. Poželjno je da jezgra s koje se prenosi magnetizacija (najčešće </w:t>
      </w:r>
      <w:r w:rsidR="00D5675A" w:rsidRPr="00D5675A">
        <w:rPr>
          <w:vertAlign w:val="superscript"/>
        </w:rPr>
        <w:t>1</w:t>
      </w:r>
      <w:r w:rsidRPr="00BB33A1">
        <w:t xml:space="preserve">H) ima relativno kratko relaksacijsko vrijeme, čime se omogućuje brzo snimanje testnih spektara. Istovremeno, jezgra X na koju se prenosi polarizacija trebala bi pokazivati signale unutar sličnog spektralnog raspona kao u </w:t>
      </w:r>
      <w:r w:rsidR="007200CB" w:rsidRPr="00BB33A1">
        <w:t xml:space="preserve">mjerenom </w:t>
      </w:r>
      <w:r w:rsidRPr="00BB33A1">
        <w:t>uzorku.</w:t>
      </w:r>
      <w:r w:rsidR="007200CB" w:rsidRPr="00BB33A1">
        <w:t xml:space="preserve"> </w:t>
      </w:r>
      <w:r w:rsidRPr="00BB33A1">
        <w:t xml:space="preserve">U slučaju da se koristi vrtnja </w:t>
      </w:r>
      <w:r w:rsidR="00931F33" w:rsidRPr="00BB33A1">
        <w:t>pri</w:t>
      </w:r>
      <w:r w:rsidRPr="00BB33A1">
        <w:t xml:space="preserve"> magičnim kutem (</w:t>
      </w:r>
      <w:r w:rsidR="00FA3B9F" w:rsidRPr="00BB33A1">
        <w:t xml:space="preserve">engl. </w:t>
      </w:r>
      <w:r w:rsidR="00FA3B9F" w:rsidRPr="00BB33A1">
        <w:rPr>
          <w:i/>
          <w:iCs/>
        </w:rPr>
        <w:t>cross-polarization magic angle spinning</w:t>
      </w:r>
      <w:r w:rsidR="00FA3B9F" w:rsidRPr="00BB33A1">
        <w:t xml:space="preserve">, </w:t>
      </w:r>
      <w:r w:rsidR="007200CB" w:rsidRPr="00BB33A1">
        <w:t>CP-</w:t>
      </w:r>
      <w:r w:rsidRPr="00BB33A1">
        <w:t>MAS), prije svega treba odrediti optimalnu brzinu vrtnje za eksperiment. Brzina ne smije biti previsoka u odnosu na jačinu dipolnih interakcija koje omogućuju prijenos magnetizacije, jer u suprotnom učinkovitost polarizacijskog prijenosa može znatno opasti.</w:t>
      </w:r>
      <w:r w:rsidR="001E5FA3" w:rsidRPr="00BB33A1">
        <w:t xml:space="preserve"> </w:t>
      </w:r>
      <w:r w:rsidRPr="00BB33A1">
        <w:t>Većina modernih CP pulsnih programa uključuje i rasprezanje tijekom akvizicije</w:t>
      </w:r>
      <w:r w:rsidR="007200CB" w:rsidRPr="00BB33A1">
        <w:t xml:space="preserve"> (prikupljanja signala)</w:t>
      </w:r>
      <w:r w:rsidRPr="00BB33A1">
        <w:t xml:space="preserve"> kako bi se dodatno poboljšala </w:t>
      </w:r>
      <w:r w:rsidRPr="00BB33A1">
        <w:lastRenderedPageBreak/>
        <w:t>kvaliteta spektra</w:t>
      </w:r>
      <w:r w:rsidR="001E3F19" w:rsidRPr="00BB33A1">
        <w:t xml:space="preserve"> (smanjilo širenje linija signala)</w:t>
      </w:r>
      <w:r w:rsidRPr="00BB33A1">
        <w:t xml:space="preserve">. </w:t>
      </w:r>
      <w:r w:rsidR="001E3F19" w:rsidRPr="00BB33A1">
        <w:t xml:space="preserve">Odnosno, rasprezanje (engl. </w:t>
      </w:r>
      <w:r w:rsidR="001E3F19" w:rsidRPr="00BB33A1">
        <w:rPr>
          <w:i/>
          <w:iCs/>
        </w:rPr>
        <w:t>decoupling</w:t>
      </w:r>
      <w:r w:rsidR="001E3F19" w:rsidRPr="00BB33A1">
        <w:t xml:space="preserve">) je kontinuirano radiofrekvencijsko polje </w:t>
      </w:r>
      <w:r w:rsidR="00FF709A" w:rsidRPr="00BB33A1">
        <w:t>primijenjeno na protonskoj frekvenciji tijekom trajanja akvizicije, čime se učinkovito uklanjaju heteronuklearne dipolne i skalarne interakcije između jezg</w:t>
      </w:r>
      <w:r w:rsidR="0026140E" w:rsidRPr="00BB33A1">
        <w:t>r</w:t>
      </w:r>
      <w:r w:rsidR="00FF709A" w:rsidRPr="00BB33A1">
        <w:t xml:space="preserve">i te time postiže veća kvaliteta dobivenih podataka. </w:t>
      </w:r>
      <w:r w:rsidRPr="00BB33A1">
        <w:t xml:space="preserve">U početnoj fazi eksperimenta, kanal za </w:t>
      </w:r>
      <w:r w:rsidR="00230C63" w:rsidRPr="00230C63">
        <w:rPr>
          <w:vertAlign w:val="superscript"/>
        </w:rPr>
        <w:t>1</w:t>
      </w:r>
      <w:r w:rsidRPr="00BB33A1">
        <w:t xml:space="preserve">H jezgre se postavlja na rezonantnu frekvenciju te se određuje približno trajanje 90° pulsa, što ne mora biti potpuno precizno jer će se kasnije </w:t>
      </w:r>
      <w:r w:rsidR="001E5FA3" w:rsidRPr="00BB33A1">
        <w:t>bolje</w:t>
      </w:r>
      <w:r w:rsidRPr="00BB33A1">
        <w:t xml:space="preserve"> optimizirati tijekom eksperimenta križne polarizacije.</w:t>
      </w:r>
      <w:r w:rsidR="001E5FA3" w:rsidRPr="00BB33A1">
        <w:t xml:space="preserve"> </w:t>
      </w:r>
      <w:r w:rsidRPr="00BB33A1">
        <w:t xml:space="preserve">Završna faza uključuje precizno podešavanje snage radiofrekvencijskih polja za obje jezgre kako bi se zadovoljio Hartmann–Hahnov rezonantni uvjet, čime se osigurava optimalan prijenos magnetizacije. Kada su svi uvjeti pravilno postavljeni na standardnom uzorku, mogu se </w:t>
      </w:r>
      <w:r w:rsidR="001E5FA3" w:rsidRPr="00BB33A1">
        <w:t>iskoristiti za mjerenje ostalih uzoraka</w:t>
      </w:r>
      <w:r w:rsidRPr="00BB33A1">
        <w:t>.</w:t>
      </w:r>
      <w:r w:rsidR="00230C63">
        <w:rPr>
          <w:vertAlign w:val="superscript"/>
        </w:rPr>
        <w:t>2</w:t>
      </w:r>
      <w:r w:rsidR="004013BA" w:rsidRPr="00BB33A1">
        <w:rPr>
          <w:vertAlign w:val="superscript"/>
        </w:rPr>
        <w:t>,12</w:t>
      </w:r>
    </w:p>
    <w:p w14:paraId="418E0720" w14:textId="29F8D3AD" w:rsidR="00FA3B9F" w:rsidRPr="00BB33A1" w:rsidRDefault="00FA3B9F" w:rsidP="00917D41">
      <w:pPr>
        <w:pStyle w:val="OCJENSKIRADOVIOdlomak3NASTAVAKODLOMKA"/>
        <w:ind w:firstLine="720"/>
      </w:pPr>
      <w:r w:rsidRPr="00BB33A1">
        <w:t xml:space="preserve">Osnovu većine analiza čini 1D MAS ili CP-MAS, a višedimenzijska NMR spektroskopija čvrstog stanja omogućuje dobivanje preciznih informacija o međuatomskim interakcijama koje nisu dostupne konvencionalnim tehnikama. </w:t>
      </w:r>
      <w:r w:rsidR="00917D41" w:rsidRPr="00BB33A1">
        <w:t xml:space="preserve">Među takvim eksperimentima ističe se heteronuklearna korelacija kemijskih pomaka (engl. </w:t>
      </w:r>
      <w:r w:rsidR="00917D41" w:rsidRPr="00BB33A1">
        <w:rPr>
          <w:i/>
          <w:iCs/>
        </w:rPr>
        <w:t>heteronuclear correlation</w:t>
      </w:r>
      <w:r w:rsidR="00917D41" w:rsidRPr="00BB33A1">
        <w:t xml:space="preserve">, HETCOR), kojom se povezuju signali različitih vrsta jezgri (najčešće </w:t>
      </w:r>
      <w:r w:rsidR="00917D41" w:rsidRPr="00BB33A1">
        <w:rPr>
          <w:vertAlign w:val="superscript"/>
        </w:rPr>
        <w:t>1</w:t>
      </w:r>
      <w:r w:rsidR="00917D41" w:rsidRPr="00BB33A1">
        <w:t xml:space="preserve">H i </w:t>
      </w:r>
      <w:r w:rsidR="00917D41" w:rsidRPr="00BB33A1">
        <w:rPr>
          <w:vertAlign w:val="superscript"/>
        </w:rPr>
        <w:t>13</w:t>
      </w:r>
      <w:r w:rsidR="00917D41" w:rsidRPr="00BB33A1">
        <w:t>C), čime se dobiva uvid u njihov prostorni raspored i međusobnu blizinu.</w:t>
      </w:r>
      <w:r w:rsidR="00230C63">
        <w:rPr>
          <w:vertAlign w:val="superscript"/>
        </w:rPr>
        <w:t>2</w:t>
      </w:r>
      <w:r w:rsidR="00917D41" w:rsidRPr="00BB33A1">
        <w:rPr>
          <w:vertAlign w:val="superscript"/>
        </w:rPr>
        <w:t>,12</w:t>
      </w:r>
    </w:p>
    <w:p w14:paraId="1CCBAD4D" w14:textId="4CFA6A9B" w:rsidR="000B0D4B" w:rsidRPr="00BB33A1" w:rsidRDefault="005452B6" w:rsidP="000B0D4B">
      <w:pPr>
        <w:pStyle w:val="OCJENSKIRADOVI2Podnaslovpoglavlja"/>
      </w:pPr>
      <w:bookmarkStart w:id="8" w:name="_Toc195959680"/>
      <w:r w:rsidRPr="00BB33A1">
        <w:t>Pristupi a</w:t>
      </w:r>
      <w:r w:rsidR="000B0D4B" w:rsidRPr="00BB33A1">
        <w:t>naliz</w:t>
      </w:r>
      <w:r w:rsidRPr="00BB33A1">
        <w:t>i</w:t>
      </w:r>
      <w:r w:rsidR="000B0D4B" w:rsidRPr="00BB33A1">
        <w:t xml:space="preserve"> ciklodekstrinskih sustava pomoću ssNMR</w:t>
      </w:r>
      <w:bookmarkEnd w:id="8"/>
    </w:p>
    <w:p w14:paraId="53E64C58" w14:textId="72986F51" w:rsidR="00162D50" w:rsidRPr="00BB33A1" w:rsidRDefault="00AB4506" w:rsidP="00AB4506">
      <w:pPr>
        <w:pStyle w:val="OCJENSKIRADOVIOdlomak3NASTAVAKODLOMKA"/>
      </w:pPr>
      <w:r w:rsidRPr="00BB33A1">
        <w:t xml:space="preserve">Zbog raznolikosti dostupnih eksperimenata, spektroskopija </w:t>
      </w:r>
      <w:r w:rsidR="008C10E1" w:rsidRPr="00BB33A1">
        <w:t xml:space="preserve">NMR </w:t>
      </w:r>
      <w:r w:rsidRPr="00BB33A1">
        <w:t>čvrsto</w:t>
      </w:r>
      <w:r w:rsidR="008C10E1" w:rsidRPr="00BB33A1">
        <w:t>g</w:t>
      </w:r>
      <w:r w:rsidRPr="00BB33A1">
        <w:t xml:space="preserve"> stanj</w:t>
      </w:r>
      <w:r w:rsidR="008C10E1" w:rsidRPr="00BB33A1">
        <w:t>a</w:t>
      </w:r>
      <w:r w:rsidRPr="00BB33A1">
        <w:t xml:space="preserve"> nudi niz pristupa za karakterizaciju ciklodekstrinskih kompleksa. Unatoč rastućem interesu za ovakve sustave, broj CD kompleksa čija je analiza potkrijepljena kristalnim strukturama i dalje je vrlo ograničen. To se ponajprije može pripisati činjenici da su mnogi od tih kompleksa amorfni ili polikristalni, dok se kod kristalnih uzoraka, čak i kada je stehiometrija jasno definirana, rijetko može dobiti kristal dovoljne veličine i kvalitete za snimanje difrakcijom na monokristalu. Ipak, za potpuno razumijevanje supramolekulskih promjena koje nastaju prilikom kompleksiranja, ključno je poznavanje molekulske strukture materijala na bazi ciklodekstrina.</w:t>
      </w:r>
      <w:r w:rsidR="005044A5" w:rsidRPr="00BB33A1">
        <w:t xml:space="preserve"> </w:t>
      </w:r>
      <w:r w:rsidRPr="00BB33A1">
        <w:t>Upravo tu značajnu prednost donosi ssNMR, budući da pruža informacije koje drugim analitičkim metodama često ostaju nedostupne. Osobito je korisna za određivanje orijentacije molekule gosta unutar šupljine CD-a te za procjenu stabilnosti kompleksa u čvrstom stanju. Osim toga, omogućuje kvantitativnu analizu različitih faza, uključujući razlikovanje kompleksiranih i slobodnih molekula gosta, kao i praćenje lokalne molekulske dinamike i prirode međumolekulskih interakcija između gosta i domaćina.</w:t>
      </w:r>
      <w:r w:rsidR="00162D50" w:rsidRPr="00BB33A1">
        <w:rPr>
          <w:vertAlign w:val="superscript"/>
        </w:rPr>
        <w:t>1</w:t>
      </w:r>
    </w:p>
    <w:p w14:paraId="4D89AF57" w14:textId="2B84499B" w:rsidR="00AD603D" w:rsidRPr="00BB33A1" w:rsidRDefault="00F77342" w:rsidP="00F77342">
      <w:pPr>
        <w:pStyle w:val="OCJENSKIRADOVIOdlomak3NASTAVAKODLOMKA"/>
      </w:pPr>
      <w:r w:rsidRPr="00BB33A1">
        <w:lastRenderedPageBreak/>
        <w:tab/>
      </w:r>
      <w:r w:rsidR="00F82BA1" w:rsidRPr="00BB33A1">
        <w:t>P</w:t>
      </w:r>
      <w:r w:rsidRPr="00BB33A1">
        <w:t xml:space="preserve">regled relevantne literature pokazuje da je </w:t>
      </w:r>
      <w:r w:rsidR="00230C63" w:rsidRPr="00230C63">
        <w:rPr>
          <w:vertAlign w:val="superscript"/>
        </w:rPr>
        <w:t>13</w:t>
      </w:r>
      <w:r w:rsidR="001429A6" w:rsidRPr="00BB33A1">
        <w:t xml:space="preserve">C CP-MAS NMR spektroskopija </w:t>
      </w:r>
      <w:r w:rsidR="009C74EE" w:rsidRPr="00BB33A1">
        <w:t xml:space="preserve">jedna od </w:t>
      </w:r>
      <w:r w:rsidRPr="00BB33A1">
        <w:t>najčeš</w:t>
      </w:r>
      <w:r w:rsidR="001B74C7" w:rsidRPr="00BB33A1">
        <w:t>će</w:t>
      </w:r>
      <w:r w:rsidRPr="00BB33A1">
        <w:t xml:space="preserve"> primjenjiva</w:t>
      </w:r>
      <w:r w:rsidR="009C74EE" w:rsidRPr="00BB33A1">
        <w:t>nih</w:t>
      </w:r>
      <w:r w:rsidRPr="00BB33A1">
        <w:t xml:space="preserve"> tehnika u </w:t>
      </w:r>
      <w:r w:rsidR="001B74C7" w:rsidRPr="00BB33A1">
        <w:t>analizi</w:t>
      </w:r>
      <w:r w:rsidRPr="00BB33A1">
        <w:t xml:space="preserve"> ciklodekstrinskih sustava u čvrstom stanju. Riječ je o logičnom odabiru za analizu molekulskih čvrstih tvari i njihovih smjesa, budući da ova metoda omogućuje snimanje spektra visoke rezolucije, čak i kod strukturno složenih i djelomično amorfnih uzoraka. Ka</w:t>
      </w:r>
      <w:r w:rsidR="004B27B3" w:rsidRPr="00BB33A1">
        <w:t>o što</w:t>
      </w:r>
      <w:r w:rsidRPr="00BB33A1">
        <w:t xml:space="preserve"> je prethodno spomenuto, tehnika križne polarizacije temelji se na heteronuklearnim dipolnim interakcijama, zbog čega je osjetljiva na međuatomske udaljenosti i dinamička svojstva molekula. Upravo ta svojstva omogućuju da se CP-MAS koristi za praćenje molekulske dinamike u složenim sustavima, što je od osobite važnosti kod supramolekulske organizacije poput inkluzijskih kompleksa.</w:t>
      </w:r>
      <w:r w:rsidR="004B27B3" w:rsidRPr="00BB33A1">
        <w:t xml:space="preserve"> </w:t>
      </w:r>
      <w:r w:rsidR="00230C63" w:rsidRPr="00230C63">
        <w:rPr>
          <w:vertAlign w:val="superscript"/>
        </w:rPr>
        <w:t>13</w:t>
      </w:r>
      <w:r w:rsidRPr="00BB33A1">
        <w:t xml:space="preserve">C CP-MAS spektar pruža informacije o kemijskim i strukturnim značajkama uzorka, a koristan </w:t>
      </w:r>
      <w:r w:rsidR="000B094A" w:rsidRPr="00BB33A1">
        <w:t xml:space="preserve">je i </w:t>
      </w:r>
      <w:r w:rsidRPr="00BB33A1">
        <w:t xml:space="preserve">za detekciju promjena u stupnju kristaličnosti i formiranju inkluzijskih kompleksa. Ključni spektralni parametri koji se u tom kontekstu prate uključuju </w:t>
      </w:r>
      <w:r w:rsidR="000B094A" w:rsidRPr="00BB33A1">
        <w:t>cijepanje</w:t>
      </w:r>
      <w:r w:rsidRPr="00BB33A1">
        <w:t xml:space="preserve"> signala, </w:t>
      </w:r>
      <w:r w:rsidR="000B094A" w:rsidRPr="00BB33A1">
        <w:t>promijene</w:t>
      </w:r>
      <w:r w:rsidRPr="00BB33A1">
        <w:t xml:space="preserve"> kemijskih pomaka te promjene širine linija (</w:t>
      </w:r>
      <w:r w:rsidR="000B094A" w:rsidRPr="00BB33A1">
        <w:t xml:space="preserve">engl. </w:t>
      </w:r>
      <w:r w:rsidRPr="00BB33A1">
        <w:rPr>
          <w:i/>
          <w:iCs/>
        </w:rPr>
        <w:t>linewidths</w:t>
      </w:r>
      <w:r w:rsidRPr="00BB33A1">
        <w:t xml:space="preserve">). U mnogim slučajevima se, radi jasnije interpretacije rezultata, uzorci uspoređuju s odgovarajućim fizičkim smjesama komponenti, čime se potvrđuje proces uključenja (engl. </w:t>
      </w:r>
      <w:r w:rsidRPr="00BB33A1">
        <w:rPr>
          <w:i/>
          <w:iCs/>
        </w:rPr>
        <w:t>inclusion</w:t>
      </w:r>
      <w:r w:rsidRPr="00BB33A1">
        <w:t>) i dobiva uvid u prirodu interakcije između molekula domaćina i gosta</w:t>
      </w:r>
      <w:r w:rsidR="00463F3A" w:rsidRPr="00BB33A1">
        <w:t>.</w:t>
      </w:r>
      <w:r w:rsidR="00463F3A" w:rsidRPr="00BB33A1">
        <w:rPr>
          <w:vertAlign w:val="superscript"/>
        </w:rPr>
        <w:t>1</w:t>
      </w:r>
      <w:r w:rsidR="00463F3A" w:rsidRPr="00BB33A1">
        <w:t xml:space="preserve"> </w:t>
      </w:r>
      <w:r w:rsidR="00031719" w:rsidRPr="00BB33A1">
        <w:t xml:space="preserve">Na slici 5 prikazane su opisane spektralne promjene (cijepanje signala, promjene kemijskih pomaka i širine linija), gdje su Braga i sur. uspoređivali </w:t>
      </w:r>
      <w:r w:rsidR="00031719" w:rsidRPr="00BB33A1">
        <w:rPr>
          <w:vertAlign w:val="superscript"/>
        </w:rPr>
        <w:t>13</w:t>
      </w:r>
      <w:r w:rsidR="00031719" w:rsidRPr="00BB33A1">
        <w:t>C CP-MAS spektre lijeka efavirenza, γ-ciklodekstrina i njihovih kompleksa</w:t>
      </w:r>
      <w:r w:rsidR="00346D2C" w:rsidRPr="00BB33A1">
        <w:t>.</w:t>
      </w:r>
      <w:r w:rsidR="00346D2C" w:rsidRPr="00BB33A1">
        <w:rPr>
          <w:vertAlign w:val="superscript"/>
        </w:rPr>
        <w:t>14</w:t>
      </w:r>
    </w:p>
    <w:p w14:paraId="62E6AC32" w14:textId="582478A2" w:rsidR="00AD603D" w:rsidRPr="00BB33A1" w:rsidRDefault="00463F3A" w:rsidP="00795D7F">
      <w:pPr>
        <w:pStyle w:val="OCJENSKIRADOVIOdlomak3NASTAVAKODLOMKA"/>
        <w:jc w:val="center"/>
      </w:pPr>
      <w:r w:rsidRPr="00BB33A1">
        <w:rPr>
          <w:noProof/>
        </w:rPr>
        <w:lastRenderedPageBreak/>
        <w:drawing>
          <wp:inline distT="0" distB="0" distL="0" distR="0" wp14:anchorId="0A34C8BB" wp14:editId="0B17A199">
            <wp:extent cx="5209766" cy="4786630"/>
            <wp:effectExtent l="0" t="0" r="0" b="0"/>
            <wp:docPr id="1719302182" name="Slika 2" descr="Slika na kojoj se prikazuje tekst, dijagram, Plan, kart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02182" name="Slika 2" descr="Slika na kojoj se prikazuje tekst, dijagram, Plan, karta&#10;&#10;Sadržaj generiran umjetnom inteligencijom može biti netočan."/>
                    <pic:cNvPicPr/>
                  </pic:nvPicPr>
                  <pic:blipFill rotWithShape="1">
                    <a:blip r:embed="rId17"/>
                    <a:srcRect l="452" r="44887" b="22976"/>
                    <a:stretch/>
                  </pic:blipFill>
                  <pic:spPr bwMode="auto">
                    <a:xfrm>
                      <a:off x="0" y="0"/>
                      <a:ext cx="5279246" cy="4850467"/>
                    </a:xfrm>
                    <a:prstGeom prst="rect">
                      <a:avLst/>
                    </a:prstGeom>
                    <a:ln>
                      <a:noFill/>
                    </a:ln>
                    <a:extLst>
                      <a:ext uri="{53640926-AAD7-44D8-BBD7-CCE9431645EC}">
                        <a14:shadowObscured xmlns:a14="http://schemas.microsoft.com/office/drawing/2010/main"/>
                      </a:ext>
                    </a:extLst>
                  </pic:spPr>
                </pic:pic>
              </a:graphicData>
            </a:graphic>
          </wp:inline>
        </w:drawing>
      </w:r>
    </w:p>
    <w:p w14:paraId="0222B40C" w14:textId="15E98FAF" w:rsidR="00AD603D" w:rsidRPr="00BB33A1" w:rsidRDefault="00795D7F" w:rsidP="00795D7F">
      <w:pPr>
        <w:pStyle w:val="OCJENSKIRADOVIOdlomak3NASTAVAKODLOMKA"/>
        <w:jc w:val="center"/>
        <w:rPr>
          <w:vertAlign w:val="superscript"/>
        </w:rPr>
      </w:pPr>
      <w:r w:rsidRPr="00BB33A1">
        <w:t xml:space="preserve">Slika 5. </w:t>
      </w:r>
      <w:r w:rsidR="00172BD1" w:rsidRPr="00BB33A1">
        <w:rPr>
          <w:vertAlign w:val="superscript"/>
        </w:rPr>
        <w:t>1</w:t>
      </w:r>
      <w:r w:rsidR="00463F3A" w:rsidRPr="00BB33A1">
        <w:t>H→</w:t>
      </w:r>
      <w:r w:rsidR="00172BD1" w:rsidRPr="00BB33A1">
        <w:rPr>
          <w:vertAlign w:val="superscript"/>
        </w:rPr>
        <w:t>13</w:t>
      </w:r>
      <w:r w:rsidR="00463F3A" w:rsidRPr="00BB33A1">
        <w:t>C CP-MAS ssNMR spektri (a) efavirenza (EFV), (b) γ-ciklodekstrina (γ-CD), (c) kompleksa (γ-CD)₃:(EFV)₂ i (d) kompleksa γ-CD:EFV, uz odgovarajuće strukture. Preuzeto i prilagođeno prema</w:t>
      </w:r>
      <w:r w:rsidR="00463F3A" w:rsidRPr="00BB33A1">
        <w:rPr>
          <w:vertAlign w:val="superscript"/>
        </w:rPr>
        <w:t>14</w:t>
      </w:r>
    </w:p>
    <w:p w14:paraId="1A7B5FEC" w14:textId="77777777" w:rsidR="00230C63" w:rsidRDefault="00230C63" w:rsidP="00230C63">
      <w:pPr>
        <w:pStyle w:val="OCJENSKIRADOVIOdlomak3NASTAVAKODLOMKA"/>
        <w:rPr>
          <w:rFonts w:ascii="Fira Code" w:hAnsi="Fira Code" w:cs="Fira Code"/>
        </w:rPr>
      </w:pPr>
    </w:p>
    <w:p w14:paraId="21C682C3" w14:textId="0D08824C" w:rsidR="00F77342" w:rsidRPr="00BB33A1" w:rsidRDefault="00F77342" w:rsidP="00230C63">
      <w:pPr>
        <w:pStyle w:val="OCJENSKIRADOVIOdlomak3NASTAVAKODLOMKA"/>
        <w:rPr>
          <w:vertAlign w:val="superscript"/>
        </w:rPr>
      </w:pPr>
      <w:r w:rsidRPr="00BB33A1">
        <w:t>Uz standardne ¹³C CP-MAS eksperimente, u literaturi su zabilježeni i primjeri primjene složenijih ssNMR pristupa, čija je svrha proširiti spektroskopsku karakterizaciju ovih sustava. U nastavku će biti sažeto prikazani ti pristupi, uz isticanje najzanimljivijih primjera.</w:t>
      </w:r>
      <w:r w:rsidR="00C63CA7" w:rsidRPr="00BB33A1">
        <w:rPr>
          <w:vertAlign w:val="superscript"/>
        </w:rPr>
        <w:t>1</w:t>
      </w:r>
    </w:p>
    <w:p w14:paraId="28AD07D8" w14:textId="77777777" w:rsidR="005452B6" w:rsidRPr="00BB33A1" w:rsidRDefault="005452B6" w:rsidP="006C4567">
      <w:pPr>
        <w:pStyle w:val="OCJENSKIRADOVIOdlomak3NASTAVAKODLOMKA"/>
        <w:ind w:firstLine="720"/>
        <w:rPr>
          <w:vertAlign w:val="superscript"/>
        </w:rPr>
      </w:pPr>
    </w:p>
    <w:p w14:paraId="5AD15602" w14:textId="59B70FDE" w:rsidR="005452B6" w:rsidRPr="00BB33A1" w:rsidRDefault="005452B6" w:rsidP="005452B6">
      <w:pPr>
        <w:pStyle w:val="OCJENSKIRADOVI3Podpodnaslovpoglavlja"/>
        <w:outlineLvl w:val="2"/>
      </w:pPr>
      <w:bookmarkStart w:id="9" w:name="_Toc195959681"/>
      <w:r w:rsidRPr="00BB33A1">
        <w:t>Izravna polarizacija (DP)</w:t>
      </w:r>
      <w:bookmarkEnd w:id="9"/>
    </w:p>
    <w:p w14:paraId="03FE3627" w14:textId="5713658D" w:rsidR="00D270FE" w:rsidRPr="00BB33A1" w:rsidRDefault="00623519" w:rsidP="005452B6">
      <w:pPr>
        <w:pStyle w:val="OCJENSKIRADOVIOdlomak3NASTAVAKODLOMKA"/>
        <w:rPr>
          <w:vertAlign w:val="superscript"/>
        </w:rPr>
      </w:pPr>
      <w:r w:rsidRPr="00BB33A1">
        <w:t>U slučaj</w:t>
      </w:r>
      <w:r w:rsidR="00AE2E47" w:rsidRPr="00BB33A1">
        <w:t>evima</w:t>
      </w:r>
      <w:r w:rsidRPr="00BB33A1">
        <w:t xml:space="preserve"> kada je molekula gosta slabo</w:t>
      </w:r>
      <w:r w:rsidR="00DD42F5" w:rsidRPr="00BB33A1">
        <w:t xml:space="preserve"> </w:t>
      </w:r>
      <w:r w:rsidRPr="00BB33A1">
        <w:t xml:space="preserve">protonirana, prednost se često daje izravnoj polarizaciji (engl. </w:t>
      </w:r>
      <w:r w:rsidRPr="00BB33A1">
        <w:rPr>
          <w:i/>
          <w:iCs/>
        </w:rPr>
        <w:t>direct polarization</w:t>
      </w:r>
      <w:r w:rsidRPr="00BB33A1">
        <w:t xml:space="preserve">, DP) koja uključuje izravnu pobodu </w:t>
      </w:r>
      <w:r w:rsidRPr="00BB33A1">
        <w:rPr>
          <w:vertAlign w:val="superscript"/>
        </w:rPr>
        <w:t>13</w:t>
      </w:r>
      <w:r w:rsidRPr="00BB33A1">
        <w:t>C jezgri bez posredovanja protona. Cilj DP eksperimenta je istaknuti signal molekule gosta, obzirom da to može rezultirati povećanjem omjera intenziteta signala gosta u odnosu na domaćina.</w:t>
      </w:r>
      <w:r w:rsidR="00AE2E47" w:rsidRPr="00BB33A1">
        <w:t xml:space="preserve"> Osim toga, budući da se </w:t>
      </w:r>
      <w:r w:rsidR="00AE2E47" w:rsidRPr="00BB33A1">
        <w:rPr>
          <w:vertAlign w:val="superscript"/>
        </w:rPr>
        <w:t>13</w:t>
      </w:r>
      <w:r w:rsidR="00AE2E47" w:rsidRPr="00BB33A1">
        <w:t xml:space="preserve">C CP-MAS spektroskopija temelji na prijenosu magnetizacije putem </w:t>
      </w:r>
      <w:r w:rsidR="00AE2E47" w:rsidRPr="00BB33A1">
        <w:lastRenderedPageBreak/>
        <w:t>dipolne sprege, a DP metoda ne ovisi o tom mehanizmu, usporedba CP i DP spektara može pružiti komplementarne informacije i doprinijeti detaljnijem razumijevanju međumolekulskih odnosa između domaćina i gosta u kompleksu.</w:t>
      </w:r>
      <w:r w:rsidR="00DD21C8" w:rsidRPr="00BB33A1">
        <w:rPr>
          <w:vertAlign w:val="superscript"/>
        </w:rPr>
        <w:t>1</w:t>
      </w:r>
    </w:p>
    <w:p w14:paraId="76F007FF" w14:textId="77777777" w:rsidR="005452B6" w:rsidRPr="00BB33A1" w:rsidRDefault="005452B6" w:rsidP="005452B6">
      <w:pPr>
        <w:pStyle w:val="OCJENSKIRADOVIOdlomak3NASTAVAKODLOMKA"/>
      </w:pPr>
    </w:p>
    <w:p w14:paraId="62788B35" w14:textId="19BB4A33" w:rsidR="005452B6" w:rsidRPr="00BB33A1" w:rsidRDefault="00134D3F" w:rsidP="005452B6">
      <w:pPr>
        <w:pStyle w:val="OCJENSKIRADOVI3Podpodnaslovpoglavlja"/>
        <w:outlineLvl w:val="2"/>
      </w:pPr>
      <w:bookmarkStart w:id="10" w:name="_Toc195959682"/>
      <w:r w:rsidRPr="00BB33A1">
        <w:t>Eksperimenti s promjenjivim vremenom kontakta</w:t>
      </w:r>
      <w:r w:rsidR="005452B6" w:rsidRPr="00BB33A1">
        <w:t xml:space="preserve"> (VCT)</w:t>
      </w:r>
      <w:bookmarkEnd w:id="10"/>
    </w:p>
    <w:p w14:paraId="6C38C433" w14:textId="1E2BB295" w:rsidR="00A90FC8" w:rsidRPr="00BB33A1" w:rsidRDefault="00D270FE" w:rsidP="005452B6">
      <w:pPr>
        <w:pStyle w:val="OCJENSKIRADOVIOdlomak3NASTAVAKODLOMKA"/>
        <w:rPr>
          <w:vertAlign w:val="superscript"/>
        </w:rPr>
      </w:pPr>
      <w:r w:rsidRPr="00BB33A1">
        <w:t>J</w:t>
      </w:r>
      <w:r w:rsidR="00A90FC8" w:rsidRPr="00BB33A1">
        <w:t xml:space="preserve">edan eksperiment koji se rijetko primjenjuje je eksperiment s varijabilnim vremenom kontakta (engl. </w:t>
      </w:r>
      <w:r w:rsidR="00A90FC8" w:rsidRPr="00BB33A1">
        <w:rPr>
          <w:i/>
          <w:iCs/>
        </w:rPr>
        <w:t>variable contact time</w:t>
      </w:r>
      <w:r w:rsidR="00A90FC8" w:rsidRPr="00BB33A1">
        <w:t>, VCT). Ova tehnika se temelji na činjenici da sustavi na bazi ciklodekstrina mogu pokazivati razlike u protonskom relaksacijskom vremenu u rotirajućem sustavu (</w:t>
      </w:r>
      <w:r w:rsidR="00A90FC8" w:rsidRPr="00BB33A1">
        <w:rPr>
          <w:i/>
          <w:iCs/>
        </w:rPr>
        <w:t>T</w:t>
      </w:r>
      <w:r w:rsidR="00A90FC8" w:rsidRPr="00BB33A1">
        <w:t>₁ρ), što omogućuje dodatnu razlučivost među prisutnim fazama. Snimanjem ¹³C CP/MAS spektara pri različitim vremenima kontakta moguće je dobiti niz spektara u kojima se relativni intenziteti signala različitih komponenti mijenjaju ovisno o njihovom okruženju. Na taj način VCT pristup ne samo da omogućuje detekciju broja faza, već i selektivno pojačavanje ili potiskivanje određenih signala, što može biti korisno u asignaciji.</w:t>
      </w:r>
      <w:r w:rsidR="005732B7" w:rsidRPr="00BB33A1">
        <w:t xml:space="preserve"> </w:t>
      </w:r>
      <w:r w:rsidR="00A90FC8" w:rsidRPr="00BB33A1">
        <w:t xml:space="preserve">Posebna primjena ove tehnike zabilježena je u istraživanju nanospužvi </w:t>
      </w:r>
      <w:r w:rsidR="00094C0C" w:rsidRPr="00BB33A1">
        <w:t xml:space="preserve">(poroznih polimernih nanočestica) </w:t>
      </w:r>
      <w:r w:rsidR="00A90FC8" w:rsidRPr="00BB33A1">
        <w:t xml:space="preserve">s i bez </w:t>
      </w:r>
      <w:r w:rsidR="005732B7" w:rsidRPr="00BB33A1">
        <w:t>prisutnih</w:t>
      </w:r>
      <w:r w:rsidR="00A90FC8" w:rsidRPr="00BB33A1">
        <w:t xml:space="preserve"> molekula gosta, gdje se osim strukturnih značajki prati i molekulska dinamika sustava</w:t>
      </w:r>
      <w:r w:rsidR="005732B7" w:rsidRPr="00BB33A1">
        <w:t xml:space="preserve">. </w:t>
      </w:r>
      <w:r w:rsidR="00A90FC8" w:rsidRPr="00BB33A1">
        <w:t>Rezultati obrade VCT podataka često se interpretiraju kao "dinamički otisak prsta" sustava, koji može poslužiti za karakterizaciju polimer–lijek kompleksa,</w:t>
      </w:r>
      <w:r w:rsidRPr="00BB33A1">
        <w:t xml:space="preserve"> </w:t>
      </w:r>
      <w:r w:rsidR="00A90FC8" w:rsidRPr="00BB33A1">
        <w:t xml:space="preserve">osobito u slučajevima kada strukturne razlike između </w:t>
      </w:r>
      <w:r w:rsidR="005732B7" w:rsidRPr="00BB33A1">
        <w:t>vezanih</w:t>
      </w:r>
      <w:r w:rsidR="00A90FC8" w:rsidRPr="00BB33A1">
        <w:t xml:space="preserve"> i n</w:t>
      </w:r>
      <w:r w:rsidR="005732B7" w:rsidRPr="00BB33A1">
        <w:t>e vezanih</w:t>
      </w:r>
      <w:r w:rsidR="00A90FC8" w:rsidRPr="00BB33A1">
        <w:t xml:space="preserve"> sustava nisu jasno izražene.</w:t>
      </w:r>
      <w:r w:rsidR="00DD21C8" w:rsidRPr="00BB33A1">
        <w:rPr>
          <w:vertAlign w:val="superscript"/>
        </w:rPr>
        <w:t>1</w:t>
      </w:r>
    </w:p>
    <w:p w14:paraId="3F74AE5C" w14:textId="77777777" w:rsidR="005452B6" w:rsidRPr="00BB33A1" w:rsidRDefault="005452B6" w:rsidP="005452B6">
      <w:pPr>
        <w:pStyle w:val="OCJENSKIRADOVIOdlomak3NASTAVAKODLOMKA"/>
      </w:pPr>
    </w:p>
    <w:p w14:paraId="670D4DE6" w14:textId="78AC47C3" w:rsidR="005452B6" w:rsidRPr="00BB33A1" w:rsidRDefault="005452B6" w:rsidP="005452B6">
      <w:pPr>
        <w:pStyle w:val="OCJENSKIRADOVI3Podpodnaslovpoglavlja"/>
        <w:outlineLvl w:val="2"/>
      </w:pPr>
      <w:bookmarkStart w:id="11" w:name="_Toc195959683"/>
      <w:r w:rsidRPr="00BB33A1">
        <w:t>Proučavanje drugih jezgri</w:t>
      </w:r>
      <w:r w:rsidR="0099241A" w:rsidRPr="00BB33A1">
        <w:t xml:space="preserve"> u CD sustavima</w:t>
      </w:r>
      <w:bookmarkEnd w:id="11"/>
    </w:p>
    <w:p w14:paraId="4AE6DFB8" w14:textId="0D6EC83D" w:rsidR="00D270FE" w:rsidRPr="00BB33A1" w:rsidRDefault="00D270FE" w:rsidP="005452B6">
      <w:pPr>
        <w:pStyle w:val="OCJENSKIRADOVIOdlomak3NASTAVAKODLOMKA"/>
        <w:rPr>
          <w:vertAlign w:val="superscript"/>
        </w:rPr>
      </w:pPr>
      <w:r w:rsidRPr="00BB33A1">
        <w:t xml:space="preserve">Obzirom na elementarni sastav ciklodekstrina, </w:t>
      </w:r>
      <w:r w:rsidRPr="00BB33A1">
        <w:rPr>
          <w:vertAlign w:val="superscript"/>
        </w:rPr>
        <w:t>13</w:t>
      </w:r>
      <w:r w:rsidRPr="00BB33A1">
        <w:t xml:space="preserve">C NMR u čvrstom stanju se najčešće koristi za njihovu analizu. Ostale jezgre, poput ¹H i ²H, primjenjuju se rjeđe; pritom se ²H NMR koristi za detaljnu analizu odabranih dijelova sustava, osobito u strukturno složenim. U određenim slučajevima, spektroskopija drugih jezgri kao što su ⁷Li, ¹⁵N ili ³¹P može biti vrlo korisna, ovisno o sastavu molekule gosta. Takvi eksperimenti omogućuju određivanje omjera domaćin:gost u čvrstom stanju te detekciju prisutnosti različitih faza, budući da </w:t>
      </w:r>
      <w:r w:rsidR="00683FF0" w:rsidRPr="00BB33A1">
        <w:t xml:space="preserve">se </w:t>
      </w:r>
      <w:r w:rsidRPr="00BB33A1">
        <w:t xml:space="preserve">kemijski pomaci istih jezgri razlikuju </w:t>
      </w:r>
      <w:r w:rsidR="00683FF0" w:rsidRPr="00BB33A1">
        <w:t xml:space="preserve">kod </w:t>
      </w:r>
      <w:r w:rsidRPr="00BB33A1">
        <w:t>kompleksirane i slobodne molekule gosta.</w:t>
      </w:r>
      <w:r w:rsidR="00DD21C8" w:rsidRPr="00BB33A1">
        <w:rPr>
          <w:vertAlign w:val="superscript"/>
        </w:rPr>
        <w:t>1</w:t>
      </w:r>
    </w:p>
    <w:p w14:paraId="3DC06D90" w14:textId="77777777" w:rsidR="005452B6" w:rsidRPr="00BB33A1" w:rsidRDefault="005452B6" w:rsidP="005452B6">
      <w:pPr>
        <w:pStyle w:val="OCJENSKIRADOVIOdlomak3NASTAVAKODLOMKA"/>
      </w:pPr>
    </w:p>
    <w:p w14:paraId="14F3F9F7" w14:textId="1B3F5173" w:rsidR="005452B6" w:rsidRPr="00BB33A1" w:rsidRDefault="005452B6" w:rsidP="005452B6">
      <w:pPr>
        <w:pStyle w:val="OCJENSKIRADOVI3Podpodnaslovpoglavlja"/>
        <w:outlineLvl w:val="2"/>
      </w:pPr>
      <w:bookmarkStart w:id="12" w:name="_Toc195959684"/>
      <w:r w:rsidRPr="00BB33A1">
        <w:t>Relaksacijska mjerenja</w:t>
      </w:r>
      <w:bookmarkEnd w:id="12"/>
    </w:p>
    <w:p w14:paraId="03A47B6F" w14:textId="1273D4FC" w:rsidR="004C5870" w:rsidRPr="00BB33A1" w:rsidRDefault="004C5870" w:rsidP="005452B6">
      <w:pPr>
        <w:pStyle w:val="OCJENSKIRADOVIOdlomak3NASTAVAKODLOMKA"/>
        <w:rPr>
          <w:vertAlign w:val="superscript"/>
        </w:rPr>
      </w:pPr>
      <w:r w:rsidRPr="00BB33A1">
        <w:t xml:space="preserve">Relaksacijska mjerenja, osobito određivanje spin-rešetka relaksacijskog vremena (T₁), često se koriste za praćenje molekulske mobilnosti u ciklodekstrinskim sustavima. Primjerice, u </w:t>
      </w:r>
      <w:r w:rsidRPr="00BB33A1">
        <w:lastRenderedPageBreak/>
        <w:t>istraživanju CD–limaprost kompleksa</w:t>
      </w:r>
      <w:r w:rsidRPr="00BB33A1">
        <w:rPr>
          <w:vertAlign w:val="superscript"/>
        </w:rPr>
        <w:t>1</w:t>
      </w:r>
      <w:r w:rsidR="00346D2C" w:rsidRPr="00BB33A1">
        <w:rPr>
          <w:vertAlign w:val="superscript"/>
        </w:rPr>
        <w:t>5</w:t>
      </w:r>
      <w:r w:rsidRPr="00BB33A1">
        <w:t xml:space="preserve"> pomoću ²H NMR, T₁ vrijednosti deuteriranih atoma ukazale su na to da mobilnost voda unutar CD šupljine igra ključnu ulogu u stabilizaciji kompleksa. U drugom primjeru</w:t>
      </w:r>
      <w:r w:rsidR="00346D2C" w:rsidRPr="00BB33A1">
        <w:rPr>
          <w:vertAlign w:val="superscript"/>
        </w:rPr>
        <w:t>16</w:t>
      </w:r>
      <w:r w:rsidRPr="00BB33A1">
        <w:t>, temperaturno ovisna analiza CD–polianilinskog kompleksa pokazala je da uključenje gosta u ciklodekstrin potiče torzijsko gibanje polianilinskog lanca, smanjuje intermolekulske π–π interakcije i time dodatno olakšava dinamiku sustava.</w:t>
      </w:r>
      <w:r w:rsidR="00DD21C8" w:rsidRPr="00BB33A1">
        <w:rPr>
          <w:vertAlign w:val="superscript"/>
        </w:rPr>
        <w:t>1</w:t>
      </w:r>
    </w:p>
    <w:p w14:paraId="78DD07D1" w14:textId="77777777" w:rsidR="005452B6" w:rsidRPr="00BB33A1" w:rsidRDefault="005452B6" w:rsidP="00E453BE">
      <w:pPr>
        <w:pStyle w:val="OCJENSKIRADOVIOdlomak3NASTAVAKODLOMKA"/>
        <w:ind w:firstLine="720"/>
      </w:pPr>
    </w:p>
    <w:p w14:paraId="04D9EDFF" w14:textId="5A8BC947" w:rsidR="005452B6" w:rsidRPr="00BB33A1" w:rsidRDefault="005452B6" w:rsidP="005452B6">
      <w:pPr>
        <w:pStyle w:val="OCJENSKIRADOVI3Podpodnaslovpoglavlja"/>
        <w:outlineLvl w:val="2"/>
      </w:pPr>
      <w:bookmarkStart w:id="13" w:name="_Toc195959685"/>
      <w:r w:rsidRPr="00BB33A1">
        <w:t>Dvodimenzionalni (2D)</w:t>
      </w:r>
      <w:r w:rsidR="00134D3F" w:rsidRPr="00BB33A1">
        <w:t xml:space="preserve"> ssNMR pristupi</w:t>
      </w:r>
      <w:bookmarkEnd w:id="13"/>
    </w:p>
    <w:p w14:paraId="6A520341" w14:textId="3B93598E" w:rsidR="00A90FC8" w:rsidRPr="00BB33A1" w:rsidRDefault="00E453BE" w:rsidP="005452B6">
      <w:pPr>
        <w:pStyle w:val="OCJENSKIRADOVIOdlomak3NASTAVAKODLOMKA"/>
        <w:rPr>
          <w:vertAlign w:val="superscript"/>
        </w:rPr>
      </w:pPr>
      <w:r w:rsidRPr="00BB33A1">
        <w:t xml:space="preserve">Iako se većina informacija o ciklodekstrinskim kompleksima u čvrstom stanju dobiva primjenom jednodimenzionalnih (1D) ssNMR eksperimenata, u literaturi su zabilježeni i izolirani </w:t>
      </w:r>
      <w:r w:rsidR="004D28EB" w:rsidRPr="00BB33A1">
        <w:t xml:space="preserve">složeniji </w:t>
      </w:r>
      <w:r w:rsidRPr="00BB33A1">
        <w:t xml:space="preserve">primjeri </w:t>
      </w:r>
      <w:r w:rsidR="004D28EB" w:rsidRPr="00BB33A1">
        <w:t xml:space="preserve">uz </w:t>
      </w:r>
      <w:r w:rsidRPr="00BB33A1">
        <w:t>primjen</w:t>
      </w:r>
      <w:r w:rsidR="004D28EB" w:rsidRPr="00BB33A1">
        <w:t>u</w:t>
      </w:r>
      <w:r w:rsidRPr="00BB33A1">
        <w:t xml:space="preserve"> dvodimenzionalnih (2D) tehnika, poput WISE</w:t>
      </w:r>
      <w:r w:rsidR="006E3B21" w:rsidRPr="00BB33A1">
        <w:t xml:space="preserve"> (engl. </w:t>
      </w:r>
      <w:r w:rsidR="006E3B21" w:rsidRPr="00BB33A1">
        <w:rPr>
          <w:i/>
          <w:iCs/>
        </w:rPr>
        <w:t>two-dimensional WIde-line SEparation</w:t>
      </w:r>
      <w:r w:rsidR="006E3B21" w:rsidRPr="00BB33A1">
        <w:t>)</w:t>
      </w:r>
      <w:r w:rsidRPr="00BB33A1">
        <w:t>, HETCOR</w:t>
      </w:r>
      <w:r w:rsidR="006E3B21" w:rsidRPr="00BB33A1">
        <w:t xml:space="preserve"> (engl. </w:t>
      </w:r>
      <w:r w:rsidR="006E3B21" w:rsidRPr="00BB33A1">
        <w:rPr>
          <w:i/>
          <w:iCs/>
        </w:rPr>
        <w:t>two-dimensional HETeronuclear chemical shift CORrelation experiments</w:t>
      </w:r>
      <w:r w:rsidR="006E3B21" w:rsidRPr="00BB33A1">
        <w:t>)</w:t>
      </w:r>
      <w:r w:rsidRPr="00BB33A1">
        <w:t>, GCOSY</w:t>
      </w:r>
      <w:r w:rsidR="006E3B21" w:rsidRPr="00BB33A1">
        <w:t xml:space="preserve"> (engl. </w:t>
      </w:r>
      <w:r w:rsidR="006E3B21" w:rsidRPr="00BB33A1">
        <w:rPr>
          <w:i/>
          <w:iCs/>
        </w:rPr>
        <w:t>Gradient Correlation SpectroscopY</w:t>
      </w:r>
      <w:r w:rsidR="006E3B21" w:rsidRPr="00BB33A1">
        <w:t>)</w:t>
      </w:r>
      <w:r w:rsidRPr="00BB33A1">
        <w:t xml:space="preserve"> i GHSQC</w:t>
      </w:r>
      <w:r w:rsidR="006E3B21" w:rsidRPr="00BB33A1">
        <w:t xml:space="preserve"> (engl. </w:t>
      </w:r>
      <w:r w:rsidR="006E3B21" w:rsidRPr="00BB33A1">
        <w:rPr>
          <w:i/>
          <w:iCs/>
        </w:rPr>
        <w:t>Gradient Heteronuclear Single Quantum Coherence Spectroscopy</w:t>
      </w:r>
      <w:r w:rsidR="006E3B21" w:rsidRPr="00BB33A1">
        <w:t>)</w:t>
      </w:r>
      <w:r w:rsidRPr="00BB33A1">
        <w:t>. Te se metode koriste kada postoji velik rizik preklapanja signala ili kada je cilj dobiti detaljniji uvid u dinamička i strukturna svojstva sustava.</w:t>
      </w:r>
      <w:r w:rsidR="00DD21C8" w:rsidRPr="00BB33A1">
        <w:rPr>
          <w:vertAlign w:val="superscript"/>
        </w:rPr>
        <w:t>1</w:t>
      </w:r>
    </w:p>
    <w:p w14:paraId="6472B317" w14:textId="77777777" w:rsidR="00E453BE" w:rsidRPr="00BB33A1" w:rsidRDefault="00E453BE" w:rsidP="00E453BE">
      <w:pPr>
        <w:pStyle w:val="OCJENSKIRADOVIOdlomak3NASTAVAKODLOMKA"/>
      </w:pPr>
    </w:p>
    <w:p w14:paraId="0D841ED1" w14:textId="3E32D13E" w:rsidR="00F77342" w:rsidRPr="00BB33A1" w:rsidRDefault="00134D3F" w:rsidP="00AB4506">
      <w:pPr>
        <w:pStyle w:val="OCJENSKIRADOVI2Podnaslovpoglavlja"/>
      </w:pPr>
      <w:bookmarkStart w:id="14" w:name="_Toc195959686"/>
      <w:r w:rsidRPr="00BB33A1">
        <w:t>Kategorizacija primjene ssNMR-a u analizi CD kompleksa prema ulozi CD-a</w:t>
      </w:r>
      <w:bookmarkEnd w:id="14"/>
    </w:p>
    <w:p w14:paraId="208F73E5" w14:textId="2F9B834D" w:rsidR="00AF3173" w:rsidRPr="00BB33A1" w:rsidRDefault="00AF3173" w:rsidP="00AF3173">
      <w:pPr>
        <w:pStyle w:val="OCJENSKIRADOVI3Podpodnaslovpoglavlja"/>
        <w:outlineLvl w:val="2"/>
      </w:pPr>
      <w:bookmarkStart w:id="15" w:name="_Toc195959687"/>
      <w:r w:rsidRPr="00BB33A1">
        <w:t>Proučavanje CD sustava kao nosače lijekova</w:t>
      </w:r>
      <w:bookmarkEnd w:id="15"/>
    </w:p>
    <w:p w14:paraId="1338C30A" w14:textId="118DE30C" w:rsidR="00D41A41" w:rsidRPr="00BB33A1" w:rsidRDefault="00A0631B" w:rsidP="00A0631B">
      <w:pPr>
        <w:pStyle w:val="OCJENSKIRADOVIOdlomak3NASTAVAKODLOMKA"/>
      </w:pPr>
      <w:r w:rsidRPr="00BB33A1">
        <w:t>Najčešća i najraširenija primjena ciklodekstrina u farmaceutskim sustavima odnosi se na njihovu ulogu nosača lijekova. U t</w:t>
      </w:r>
      <w:r w:rsidR="00FF679A" w:rsidRPr="00BB33A1">
        <w:t>o</w:t>
      </w:r>
      <w:r w:rsidRPr="00BB33A1">
        <w:t>m konteks</w:t>
      </w:r>
      <w:r w:rsidR="00FF679A" w:rsidRPr="00BB33A1">
        <w:t>tu</w:t>
      </w:r>
      <w:r w:rsidRPr="00BB33A1">
        <w:t xml:space="preserve">, ssNMR spektroskopija u čvrstom stanju koristi se primarno za dokazivanje stvaranja kompleksa, karakterizaciju njihove strukture te </w:t>
      </w:r>
      <w:r w:rsidR="00A0645D" w:rsidRPr="00BB33A1">
        <w:t>određivanje</w:t>
      </w:r>
      <w:r w:rsidRPr="00BB33A1">
        <w:t xml:space="preserve"> čimbenika koji doprinose stabilnosti uključenja</w:t>
      </w:r>
      <w:r w:rsidR="005D34D3" w:rsidRPr="00BB33A1">
        <w:t xml:space="preserve"> lijeka u šupljinu CD-a</w:t>
      </w:r>
      <w:r w:rsidRPr="00BB33A1">
        <w:t>. Budući da se ciklodekstrini najčešće primjenjuju kako bi se poboljšala topljivost i bioraspoloživost farmaceutskih tvari, ssNMR se često koristi i za razlikovanje amorfnih i kristaličnih oblika kompleksa, kao i za usporedbu različitih metoda priprave</w:t>
      </w:r>
      <w:r w:rsidR="00C73DF5" w:rsidRPr="00BB33A1">
        <w:t xml:space="preserve">. </w:t>
      </w:r>
      <w:r w:rsidRPr="00BB33A1">
        <w:t>Dodatni motiv za primjenu ssNMR-a u tim sustavima jest određivanje ili procjena molarnog omjera između CD-a i molekule gosta</w:t>
      </w:r>
      <w:r w:rsidR="00D41A41" w:rsidRPr="00BB33A1">
        <w:t>.</w:t>
      </w:r>
      <w:r w:rsidR="00D41A41" w:rsidRPr="00BB33A1">
        <w:rPr>
          <w:vertAlign w:val="superscript"/>
        </w:rPr>
        <w:t>1</w:t>
      </w:r>
    </w:p>
    <w:p w14:paraId="20304347" w14:textId="47912FD1" w:rsidR="00BB33A1" w:rsidRPr="004A1961" w:rsidRDefault="00D41A41" w:rsidP="007B4061">
      <w:pPr>
        <w:pStyle w:val="OCJENSKIRADOVIOdlomak3NASTAVAKODLOMKA"/>
        <w:ind w:firstLine="720"/>
      </w:pPr>
      <w:r w:rsidRPr="004A1961">
        <w:t>Primjer takvog pristupa</w:t>
      </w:r>
      <w:r w:rsidR="007B4061" w:rsidRPr="004A1961">
        <w:t xml:space="preserve"> </w:t>
      </w:r>
      <w:r w:rsidR="00BB33A1" w:rsidRPr="00BB33A1">
        <w:t>je prikazan u radu Arrúa i sur.</w:t>
      </w:r>
      <w:r w:rsidR="007B4061" w:rsidRPr="004A1961">
        <w:rPr>
          <w:vertAlign w:val="superscript"/>
        </w:rPr>
        <w:t>17</w:t>
      </w:r>
      <w:r w:rsidR="00BB33A1" w:rsidRPr="00BB33A1">
        <w:t xml:space="preserve">, gdje su </w:t>
      </w:r>
      <w:r w:rsidR="007B4061" w:rsidRPr="004A1961">
        <w:rPr>
          <w:vertAlign w:val="superscript"/>
        </w:rPr>
        <w:t>13</w:t>
      </w:r>
      <w:r w:rsidR="00BB33A1" w:rsidRPr="00BB33A1">
        <w:t xml:space="preserve">C i </w:t>
      </w:r>
      <w:r w:rsidR="007B4061" w:rsidRPr="004A1961">
        <w:rPr>
          <w:vertAlign w:val="superscript"/>
        </w:rPr>
        <w:t>15</w:t>
      </w:r>
      <w:r w:rsidR="00BB33A1" w:rsidRPr="00BB33A1">
        <w:t>N CP-MAS NMR spektroskopijom potvrđene interakcije između prazikvantela i različitih derivata β-ciklodekstrina (metilirani i hidroksipropilirani β-CD).</w:t>
      </w:r>
      <w:r w:rsidR="007B4061" w:rsidRPr="004A1961">
        <w:t xml:space="preserve"> </w:t>
      </w:r>
      <w:r w:rsidR="00BB33A1" w:rsidRPr="00BB33A1">
        <w:t xml:space="preserve">Spektralna analiza ukazala je na stvaranje stabilnih kompleksa s molarnim omjerom gosta i domaćina 1:2, pri čemu je </w:t>
      </w:r>
      <w:r w:rsidR="00BB33A1" w:rsidRPr="00BB33A1">
        <w:lastRenderedPageBreak/>
        <w:t>utvrđeno da se aromatski dio molekule prazikvantela smješta unutar šupljine CD-a. Značajn</w:t>
      </w:r>
      <w:r w:rsidR="007B4061" w:rsidRPr="004A1961">
        <w:t>o</w:t>
      </w:r>
      <w:r w:rsidR="00BB33A1" w:rsidRPr="00BB33A1">
        <w:t xml:space="preserve"> </w:t>
      </w:r>
      <w:r w:rsidR="007B4061" w:rsidRPr="004A1961">
        <w:t>proširenje</w:t>
      </w:r>
      <w:r w:rsidR="00BB33A1" w:rsidRPr="00BB33A1">
        <w:t xml:space="preserve"> signala u kompleksima u odnosu na slobodni lijek također je sugerira</w:t>
      </w:r>
      <w:r w:rsidR="007B4061" w:rsidRPr="004A1961">
        <w:t>o</w:t>
      </w:r>
      <w:r w:rsidR="00BB33A1" w:rsidRPr="00BB33A1">
        <w:t xml:space="preserve"> prijelaz u amorfnu formu, što je važna karakteristika za poboljšanje topljivosti. Prikazani rezultati ističu sposobnost ssNMR-a da </w:t>
      </w:r>
      <w:r w:rsidR="007B4061" w:rsidRPr="004A1961">
        <w:t>razlikuje</w:t>
      </w:r>
      <w:r w:rsidR="00BB33A1" w:rsidRPr="00BB33A1">
        <w:t xml:space="preserve"> kompleksirane i slobodne komponente te pruži podatke o lokalnoj strukturi i dinamici sustava.</w:t>
      </w:r>
      <w:r w:rsidR="007B4061" w:rsidRPr="004A1961">
        <w:t xml:space="preserve"> </w:t>
      </w:r>
      <w:r w:rsidR="00BB33A1" w:rsidRPr="00BB33A1">
        <w:t>Na slici 6 prikazani su odabrani ¹³C CP-MAS spektri prazikvantela, β-CD-a i njihovih kompleksa s različitim derivatima CD-a</w:t>
      </w:r>
      <w:r w:rsidR="007B4061" w:rsidRPr="004A1961">
        <w:t xml:space="preserve"> </w:t>
      </w:r>
      <w:r w:rsidR="00BB33A1" w:rsidRPr="00BB33A1">
        <w:t>koji vizualno potvrđuju razlike u kemijskim pomacima i širini linija između kompleksiranih i slobodnih komponenti.</w:t>
      </w:r>
      <w:r w:rsidR="007B4061" w:rsidRPr="004A1961">
        <w:rPr>
          <w:vertAlign w:val="superscript"/>
        </w:rPr>
        <w:t>17</w:t>
      </w:r>
    </w:p>
    <w:p w14:paraId="1581F62E" w14:textId="66F7E56F" w:rsidR="003B4368" w:rsidRPr="00BB33A1" w:rsidRDefault="00BE69E0" w:rsidP="00BE69E0">
      <w:pPr>
        <w:pStyle w:val="OCJENSKIRADOVIOdlomak3NASTAVAKODLOMKA"/>
        <w:jc w:val="center"/>
      </w:pPr>
      <w:r w:rsidRPr="00BB33A1">
        <w:rPr>
          <w:noProof/>
        </w:rPr>
        <w:drawing>
          <wp:inline distT="0" distB="0" distL="0" distR="0" wp14:anchorId="4F29B69B" wp14:editId="1B1A064C">
            <wp:extent cx="5674819" cy="3424687"/>
            <wp:effectExtent l="0" t="0" r="2540" b="4445"/>
            <wp:docPr id="1688852550" name="Slika 3" descr="Slika na kojoj se prikazuje dijagram, skeč, crtež, tekst&#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52550" name="Slika 3" descr="Slika na kojoj se prikazuje dijagram, skeč, crtež, tekst&#10;&#10;Sadržaj generiran umjetnom inteligencijom može biti netočan."/>
                    <pic:cNvPicPr/>
                  </pic:nvPicPr>
                  <pic:blipFill>
                    <a:blip r:embed="rId18"/>
                    <a:stretch>
                      <a:fillRect/>
                    </a:stretch>
                  </pic:blipFill>
                  <pic:spPr>
                    <a:xfrm>
                      <a:off x="0" y="0"/>
                      <a:ext cx="5700587" cy="3440238"/>
                    </a:xfrm>
                    <a:prstGeom prst="rect">
                      <a:avLst/>
                    </a:prstGeom>
                  </pic:spPr>
                </pic:pic>
              </a:graphicData>
            </a:graphic>
          </wp:inline>
        </w:drawing>
      </w:r>
    </w:p>
    <w:p w14:paraId="5B49D42A" w14:textId="0D479ECD" w:rsidR="00BE69E0" w:rsidRPr="0038355E" w:rsidRDefault="00BE69E0" w:rsidP="00BE69E0">
      <w:pPr>
        <w:pStyle w:val="OCJENSKIRADOVIOdlomak3NASTAVAKODLOMKA"/>
        <w:jc w:val="center"/>
      </w:pPr>
      <w:r w:rsidRPr="007B4061">
        <w:t xml:space="preserve">Slika 6. </w:t>
      </w:r>
      <w:r w:rsidR="007B4061" w:rsidRPr="007B4061">
        <w:rPr>
          <w:vertAlign w:val="superscript"/>
        </w:rPr>
        <w:t>13</w:t>
      </w:r>
      <w:r w:rsidR="007B4061" w:rsidRPr="007B4061">
        <w:t>C CP-MAS spektri dobiveni za kristalni prazikvantel (PZQ), amorfni PZQ te za sustave PZQ s β-CD, metiliranim β-CD (Me-β-CD) i hidroksipropiliranim β-CD (HP-β-CD) u molarnom omjeru 1:2 (odozdo prema gore). Spektraln</w:t>
      </w:r>
      <w:r w:rsidR="0038355E">
        <w:t xml:space="preserve">a područja </w:t>
      </w:r>
      <w:r w:rsidR="007B4061" w:rsidRPr="007B4061">
        <w:t>koj</w:t>
      </w:r>
      <w:r w:rsidR="0038355E">
        <w:t>a</w:t>
      </w:r>
      <w:r w:rsidR="007B4061" w:rsidRPr="007B4061">
        <w:t xml:space="preserve"> prikazuju rezonancije PZQ prikazane su s proširenom vertikalnom skalom.</w:t>
      </w:r>
      <w:r w:rsidR="0038355E">
        <w:t xml:space="preserve"> Preuzeto i prilagođeno prema</w:t>
      </w:r>
      <w:r w:rsidR="0038355E">
        <w:rPr>
          <w:vertAlign w:val="superscript"/>
        </w:rPr>
        <w:t>17</w:t>
      </w:r>
    </w:p>
    <w:p w14:paraId="3CC8BA50" w14:textId="77777777" w:rsidR="003B4368" w:rsidRPr="00BB33A1" w:rsidRDefault="003B4368" w:rsidP="00A0631B">
      <w:pPr>
        <w:pStyle w:val="OCJENSKIRADOVIOdlomak3NASTAVAKODLOMKA"/>
      </w:pPr>
    </w:p>
    <w:p w14:paraId="1326A6AE" w14:textId="04591065" w:rsidR="00D3123A" w:rsidRPr="00D3123A" w:rsidRDefault="00D3123A" w:rsidP="00D3123A">
      <w:pPr>
        <w:pStyle w:val="OCJENSKIRADOVIOdlomak3NASTAVAKODLOMKA"/>
      </w:pPr>
      <w:r w:rsidRPr="00D3123A">
        <w:t>Također značajan primjer integrirane primjene različitih analitičkih pristupa predstavlja rad Carvalho</w:t>
      </w:r>
      <w:r>
        <w:t>a</w:t>
      </w:r>
      <w:r w:rsidRPr="00D3123A">
        <w:t xml:space="preserve"> i sur.</w:t>
      </w:r>
      <w:r>
        <w:rPr>
          <w:vertAlign w:val="superscript"/>
        </w:rPr>
        <w:t>18</w:t>
      </w:r>
      <w:r w:rsidRPr="00D3123A">
        <w:t xml:space="preserve"> o inkluzijskim kompleksima furazolidona i derivata β-ciklodekstrina. U ovom istraživanju, spektroskopija NMR u čvrstom stanju (</w:t>
      </w:r>
      <w:r w:rsidRPr="00D3123A">
        <w:rPr>
          <w:vertAlign w:val="superscript"/>
        </w:rPr>
        <w:t>13</w:t>
      </w:r>
      <w:r w:rsidRPr="00D3123A">
        <w:t>C CP</w:t>
      </w:r>
      <w:r>
        <w:t>-</w:t>
      </w:r>
      <w:r w:rsidRPr="00D3123A">
        <w:t>MAS) korištena je za potvrdu kompleksiranja te za razlikovanje kompleksiranih i slobodnih komponenti, pri čemu su promjene u spektrima</w:t>
      </w:r>
      <w:r>
        <w:t xml:space="preserve">, </w:t>
      </w:r>
      <w:r w:rsidRPr="00D3123A">
        <w:t>poput širenja linija i gubitka jasnoće signala</w:t>
      </w:r>
      <w:r>
        <w:t xml:space="preserve">, </w:t>
      </w:r>
      <w:r w:rsidRPr="00D3123A">
        <w:t xml:space="preserve">ukazivale na prijelaz iz kristalične u amorfnu fazu. Autori su usporedili dvije metode priprave (gnječenje i </w:t>
      </w:r>
      <w:r w:rsidRPr="00D3123A">
        <w:lastRenderedPageBreak/>
        <w:t>liofilizaciju) te zaključili da je liofilizacija, osobito u molarnom omjeru 1:2, rezultirala stabilnijim i strukturno definiranijim kompleksima, što je potvrđeno kombinacijom ssNMR, Raman spektroskopije i XRD analize. Osim toga, predložena je i moguća geometrija uključenja furazolidona unutar šupljine ciklodekstrina.</w:t>
      </w:r>
      <w:r>
        <w:rPr>
          <w:vertAlign w:val="superscript"/>
        </w:rPr>
        <w:t>18</w:t>
      </w:r>
    </w:p>
    <w:p w14:paraId="230ACCA3" w14:textId="13466B89" w:rsidR="00D3123A" w:rsidRPr="00795737" w:rsidRDefault="00D3123A" w:rsidP="00795737">
      <w:pPr>
        <w:pStyle w:val="OCJENSKIRADOVIOdlomak3NASTAVAKODLOMKA"/>
        <w:ind w:firstLine="720"/>
        <w:rPr>
          <w:vertAlign w:val="superscript"/>
        </w:rPr>
      </w:pPr>
      <w:r w:rsidRPr="00D3123A">
        <w:t>U usporedbi s radom Arrúa i sur.</w:t>
      </w:r>
      <w:r>
        <w:rPr>
          <w:vertAlign w:val="superscript"/>
        </w:rPr>
        <w:t>17</w:t>
      </w:r>
      <w:r w:rsidRPr="00D3123A">
        <w:t>, koji se također ističe kombinacijom više ssNMR eksperimenata, određivanjem molarnog omjera i analizom kristaličnosti na primjeru prazikvantela, rad Carvalho i sur. dodatno doprinosi sustavnoj karakterizaciji uključujući više metoda priprave, kvantitativnu procjenu stupnja amorfizacije te istraživanje utjecaja različitih derivata CD-a na efikasnost kompleksiranja. Time ovaj rad objedinjuje gotovo sve prethodno istaknute komponente analize ssNMR-om ciklodekstrinskih sustava.</w:t>
      </w:r>
      <w:r>
        <w:rPr>
          <w:vertAlign w:val="superscript"/>
        </w:rPr>
        <w:t>1,18</w:t>
      </w:r>
    </w:p>
    <w:p w14:paraId="5BAE5E27" w14:textId="4CBBB10D" w:rsidR="00E30341" w:rsidRPr="00DF416C" w:rsidRDefault="00A0631B" w:rsidP="00DF416C">
      <w:pPr>
        <w:pStyle w:val="OCJENSKIRADOVIOdlomak3NASTAVAKODLOMKA"/>
        <w:ind w:firstLine="720"/>
        <w:rPr>
          <w:vertAlign w:val="superscript"/>
        </w:rPr>
      </w:pPr>
      <w:r w:rsidRPr="00BB33A1">
        <w:t xml:space="preserve">Još jedno </w:t>
      </w:r>
      <w:r w:rsidR="00E30341" w:rsidRPr="00BB33A1">
        <w:t>zanimljivo</w:t>
      </w:r>
      <w:r w:rsidRPr="00BB33A1">
        <w:t xml:space="preserve"> istraživanje bavi se kompleksom </w:t>
      </w:r>
      <w:r w:rsidRPr="00DF416C">
        <w:t>albendazola sa sukciniliranim</w:t>
      </w:r>
      <w:r w:rsidRPr="00BB33A1">
        <w:t xml:space="preserve"> β-CD u uzorcima dobivenima raspršnim sušenjem. S obzirom na to da albendazol može postojati u nekoliko tautomernih oblika, usporedbom kemijskih pomaka kompleksa s referentnim oblicima, ssNMR je omogućio određivanje udjela pojedinih tautomera prisutnih u analiziranom kompleksu.</w:t>
      </w:r>
      <w:r w:rsidR="00DD21C8" w:rsidRPr="00BB33A1">
        <w:rPr>
          <w:vertAlign w:val="superscript"/>
        </w:rPr>
        <w:t>1</w:t>
      </w:r>
      <w:r w:rsidR="00DF416C">
        <w:rPr>
          <w:vertAlign w:val="superscript"/>
        </w:rPr>
        <w:t>,19</w:t>
      </w:r>
    </w:p>
    <w:p w14:paraId="1473C209" w14:textId="6B3E4F4E" w:rsidR="00A0631B" w:rsidRPr="00BB33A1" w:rsidRDefault="00A0631B" w:rsidP="000B5AFD">
      <w:pPr>
        <w:pStyle w:val="OCJENSKIRADOVIOdlomak3NASTAVAKODLOMKA"/>
        <w:ind w:firstLine="680"/>
        <w:rPr>
          <w:vertAlign w:val="superscript"/>
        </w:rPr>
      </w:pPr>
      <w:r w:rsidRPr="00BB33A1">
        <w:t>U zasebnu skupinu spadaju kompozitni sustavi u kojima su CD-ovi kovalentno vezani na celulozne matrice, poput vlakana ili hidrogelova. Takvi materijali imaju primjenu u kontroliranom otpuštanju lijekova i antimikrobnoj aktivnosti, a pritom se ciklodekstrini koriste kao funkcionalni nositelji. Dosadašnja istraživanja tih sustava</w:t>
      </w:r>
      <w:r w:rsidR="00E30341" w:rsidRPr="00BB33A1">
        <w:t xml:space="preserve"> </w:t>
      </w:r>
      <w:r w:rsidRPr="00BB33A1">
        <w:t xml:space="preserve">pokazala su da je ssNMR ključna tehnika ne samo za strukturnu karakterizaciju kompleksa, već i za potvrdu uspješnosti </w:t>
      </w:r>
      <w:r w:rsidR="00BD7237" w:rsidRPr="00BB33A1">
        <w:t>kovalentnog vezanja</w:t>
      </w:r>
      <w:r w:rsidRPr="00BB33A1">
        <w:t xml:space="preserve"> CD-a na celuloznu osnovu.</w:t>
      </w:r>
      <w:r w:rsidR="00DD21C8" w:rsidRPr="00BB33A1">
        <w:rPr>
          <w:vertAlign w:val="superscript"/>
        </w:rPr>
        <w:t>1</w:t>
      </w:r>
    </w:p>
    <w:p w14:paraId="0A3E2A21" w14:textId="77777777" w:rsidR="003E3CC1" w:rsidRPr="00BB33A1" w:rsidRDefault="003E3CC1" w:rsidP="00D42889">
      <w:pPr>
        <w:pStyle w:val="OCJENSKIRADOVIOdlomak3NASTAVAKODLOMKA"/>
      </w:pPr>
    </w:p>
    <w:p w14:paraId="53C85E0F" w14:textId="3D7E598A" w:rsidR="003E3CC1" w:rsidRPr="00BB33A1" w:rsidRDefault="00B201AD" w:rsidP="00D42889">
      <w:pPr>
        <w:pStyle w:val="OCJENSKIRADOVI3Podpodnaslovpoglavlja"/>
        <w:outlineLvl w:val="2"/>
      </w:pPr>
      <w:bookmarkStart w:id="16" w:name="_Toc195959688"/>
      <w:r w:rsidRPr="00BB33A1">
        <w:t>Nanospužve i funkcionalizirani CD-ovi</w:t>
      </w:r>
      <w:bookmarkEnd w:id="16"/>
    </w:p>
    <w:p w14:paraId="02E9036E" w14:textId="62AEA242" w:rsidR="00D737E8" w:rsidRPr="00BB33A1" w:rsidRDefault="00D737E8" w:rsidP="00D737E8">
      <w:pPr>
        <w:pStyle w:val="OCJENSKIRADOVIOdlomak3NASTAVAKODLOMKA"/>
        <w:rPr>
          <w:vertAlign w:val="superscript"/>
        </w:rPr>
      </w:pPr>
      <w:r w:rsidRPr="00BB33A1">
        <w:t>Nanospužve predstavljaju porozne polimerne nanočestice koje se primjenjuju kao sustavi za uklanjanje toksina ili kao nosači lijekova</w:t>
      </w:r>
      <w:r w:rsidR="00C55FBC" w:rsidRPr="00BB33A1">
        <w:t>. P</w:t>
      </w:r>
      <w:r w:rsidRPr="00BB33A1">
        <w:t xml:space="preserve">rvi sintetizirani nanospužvasti sustavi sadržavali su ciklodekstrine, zbog čega se za njih koristio naziv „ciklodekstrinske nanospužve”. </w:t>
      </w:r>
      <w:r w:rsidR="008703E1" w:rsidRPr="00BB33A1">
        <w:t>Nanospužve</w:t>
      </w:r>
      <w:r w:rsidRPr="00BB33A1">
        <w:t xml:space="preserve"> su strukture građene od CD-a i umrežavajućih (</w:t>
      </w:r>
      <w:r w:rsidR="008C7212" w:rsidRPr="00BB33A1">
        <w:t xml:space="preserve">engl. </w:t>
      </w:r>
      <w:r w:rsidR="008C7212" w:rsidRPr="00BB33A1">
        <w:rPr>
          <w:i/>
          <w:iCs/>
        </w:rPr>
        <w:t>cross-linking agents</w:t>
      </w:r>
      <w:r w:rsidRPr="00BB33A1">
        <w:t>) sredstava, čime se formira stabilna trodimenzionalna mreža.</w:t>
      </w:r>
      <w:r w:rsidR="000503D7" w:rsidRPr="00BB33A1">
        <w:t xml:space="preserve"> </w:t>
      </w:r>
      <w:r w:rsidRPr="00BB33A1">
        <w:t>U kontekstu karakterizacije nanospužvi, ssNMR spektroskopija koristi se za</w:t>
      </w:r>
      <w:r w:rsidR="000503D7" w:rsidRPr="00BB33A1">
        <w:t xml:space="preserve"> </w:t>
      </w:r>
      <w:r w:rsidRPr="00BB33A1">
        <w:t>potvrdu formiranja sustava</w:t>
      </w:r>
      <w:r w:rsidR="000503D7" w:rsidRPr="00BB33A1">
        <w:t xml:space="preserve">, </w:t>
      </w:r>
      <w:r w:rsidRPr="00BB33A1">
        <w:t>strukturnu analizu umreženog materijala</w:t>
      </w:r>
      <w:r w:rsidR="000503D7" w:rsidRPr="00BB33A1">
        <w:t xml:space="preserve"> i </w:t>
      </w:r>
      <w:r w:rsidRPr="00BB33A1">
        <w:t>dokazivanje uključenja molekule gosta u CD šupljinu</w:t>
      </w:r>
      <w:r w:rsidR="000503D7" w:rsidRPr="00BB33A1">
        <w:t xml:space="preserve">. </w:t>
      </w:r>
      <w:r w:rsidRPr="00BB33A1">
        <w:t>Zanimljiv primjer upotrebe ssNMR-a uključuje istraživanje u kojem su ispitivani učinci pomoćnih tvari (</w:t>
      </w:r>
      <w:r w:rsidR="000867FB" w:rsidRPr="00BB33A1">
        <w:t xml:space="preserve">engl. </w:t>
      </w:r>
      <w:r w:rsidR="000867FB" w:rsidRPr="00BB33A1">
        <w:rPr>
          <w:i/>
          <w:iCs/>
        </w:rPr>
        <w:t>excipients</w:t>
      </w:r>
      <w:r w:rsidRPr="00BB33A1">
        <w:t xml:space="preserve">) na osnovi relaksacijskih vremena ugljikovih jezgri. Temeljni </w:t>
      </w:r>
      <w:r w:rsidRPr="00BB33A1">
        <w:lastRenderedPageBreak/>
        <w:t>princip pritom je da mobilniji atomi ugljika sporije relaksiraju, što se interpretira kao plastificirajući učinak pomoćne tvari.</w:t>
      </w:r>
      <w:r w:rsidR="000867FB" w:rsidRPr="00BB33A1">
        <w:t xml:space="preserve"> </w:t>
      </w:r>
      <w:r w:rsidRPr="00BB33A1">
        <w:t>Dok su prvi nanospužvasti sustavi izrađeni isključivo od</w:t>
      </w:r>
      <w:r w:rsidR="0081767E" w:rsidRPr="00BB33A1">
        <w:t xml:space="preserve"> </w:t>
      </w:r>
      <w:r w:rsidR="000867FB" w:rsidRPr="00BB33A1">
        <w:t>nativnih</w:t>
      </w:r>
      <w:r w:rsidR="0081767E" w:rsidRPr="00BB33A1">
        <w:t xml:space="preserve"> </w:t>
      </w:r>
      <w:r w:rsidRPr="00BB33A1">
        <w:t>ciklodekstrina, danas se sve češće primjenjuju derivatizirani CD-ovi. Tako je pokazano da metiliranje CD-a povećava njegovu sposobnost ugradnje u polimernu mrežu, vjerojatno zbog povećane hidrofobnosti.</w:t>
      </w:r>
      <w:r w:rsidR="004A5487" w:rsidRPr="00BB33A1">
        <w:t xml:space="preserve"> </w:t>
      </w:r>
      <w:r w:rsidRPr="00BB33A1">
        <w:t>Nanospužve nisu jedini polimerni sustavi temeljeni na ciklodekstrinima</w:t>
      </w:r>
      <w:r w:rsidR="004A5487" w:rsidRPr="00BB33A1">
        <w:t>, također se</w:t>
      </w:r>
      <w:r w:rsidRPr="00BB33A1">
        <w:t xml:space="preserve"> izrađuju i mikrosfere koje se mogu analizirati ssNMR-om kako bi se odredila njihova unutarnja struktura.</w:t>
      </w:r>
      <w:r w:rsidR="008745D2" w:rsidRPr="00BB33A1">
        <w:rPr>
          <w:vertAlign w:val="superscript"/>
        </w:rPr>
        <w:t>1</w:t>
      </w:r>
    </w:p>
    <w:p w14:paraId="058045DE" w14:textId="1AEEAAAF" w:rsidR="003E3CC1" w:rsidRPr="00BB33A1" w:rsidRDefault="00D737E8" w:rsidP="008745D2">
      <w:pPr>
        <w:pStyle w:val="OCJENSKIRADOVIOdlomak3NASTAVAKODLOMKA"/>
        <w:ind w:firstLine="720"/>
        <w:rPr>
          <w:vertAlign w:val="superscript"/>
        </w:rPr>
      </w:pPr>
      <w:r w:rsidRPr="00BB33A1">
        <w:t>Posebno područje istraživanja čini i funkcionalizacija ciklodekstrina, tj. ciljane kemijske modifikacije koje se provode isključivo na CD-u. Tako</w:t>
      </w:r>
      <w:r w:rsidR="00FE4EDF" w:rsidRPr="00BB33A1">
        <w:t xml:space="preserve"> se</w:t>
      </w:r>
      <w:r w:rsidRPr="00BB33A1">
        <w:t xml:space="preserve"> primjerice</w:t>
      </w:r>
      <w:r w:rsidR="00FE4EDF" w:rsidRPr="00BB33A1">
        <w:t xml:space="preserve"> modifikacijom </w:t>
      </w:r>
      <w:r w:rsidRPr="00BB33A1">
        <w:t>β-CD fosfornim skupinama</w:t>
      </w:r>
      <w:r w:rsidR="00FE4EDF" w:rsidRPr="00BB33A1">
        <w:t xml:space="preserve"> </w:t>
      </w:r>
      <w:r w:rsidRPr="00BB33A1">
        <w:t>dobiva materijal prikladan za primjenu u vatrootpornim premazima prihvatljivima za okoliš. Budući da fosfor sudjeluje u građi takvih sustava, za potvrdu strukture koristi se ³¹P ssNMR spektroskopija.</w:t>
      </w:r>
      <w:r w:rsidR="008745D2" w:rsidRPr="00BB33A1">
        <w:rPr>
          <w:vertAlign w:val="superscript"/>
        </w:rPr>
        <w:t>1</w:t>
      </w:r>
    </w:p>
    <w:p w14:paraId="4EBD10F7" w14:textId="77777777" w:rsidR="003E3CC1" w:rsidRPr="00BB33A1" w:rsidRDefault="003E3CC1" w:rsidP="00D42889">
      <w:pPr>
        <w:pStyle w:val="OCJENSKIRADOVIOdlomak3NASTAVAKODLOMKA"/>
      </w:pPr>
    </w:p>
    <w:p w14:paraId="3DB96465" w14:textId="6450AD0F" w:rsidR="003E3CC1" w:rsidRPr="00BB33A1" w:rsidRDefault="009F6B34" w:rsidP="00D42889">
      <w:pPr>
        <w:pStyle w:val="OCJENSKIRADOVI3Podpodnaslovpoglavlja"/>
        <w:outlineLvl w:val="2"/>
      </w:pPr>
      <w:bookmarkStart w:id="17" w:name="_Toc195959689"/>
      <w:r w:rsidRPr="00BB33A1">
        <w:t>CD sustavi kao odstranjivači onečišćivala i senzorski uređaji</w:t>
      </w:r>
      <w:bookmarkEnd w:id="17"/>
    </w:p>
    <w:p w14:paraId="1FAB3D66" w14:textId="5116C022" w:rsidR="007F7D02" w:rsidRPr="00BB33A1" w:rsidRDefault="007F7D02" w:rsidP="007F7D02">
      <w:pPr>
        <w:pStyle w:val="OCJENSKIRADOVIOdlomak3NASTAVAKODLOMKA"/>
        <w:rPr>
          <w:vertAlign w:val="superscript"/>
        </w:rPr>
      </w:pPr>
      <w:r w:rsidRPr="00BB33A1">
        <w:t xml:space="preserve">Nakon primjene u farmaceutici, druga po učestalosti uloga ciklodekstrinskih kompleksa je njihova primjena kao sustava za uklanjanje onečišćivala. Takvi sustavi ciljano vežu organske zagađivače iz vode, uključujući toksične spojeve poput p-nitrofenola, naftalena ili </w:t>
      </w:r>
      <w:r w:rsidR="00B4184E" w:rsidRPr="00BB33A1">
        <w:t>kemikalije koje ometaju endokrini sustav</w:t>
      </w:r>
      <w:r w:rsidRPr="00BB33A1">
        <w:t>, kao što su bisfenol A i drugi estrogeni spojevi. Ovi funkcionalni sustavi mogu biti izrađeni i u obliku matrica na bazi silikagela koje sadrže ciklodekstrine.</w:t>
      </w:r>
      <w:r w:rsidR="00B4184E" w:rsidRPr="00BB33A1">
        <w:t xml:space="preserve"> Spektroskopija NMR čvrstog stanja</w:t>
      </w:r>
      <w:r w:rsidRPr="00BB33A1">
        <w:t xml:space="preserve"> omogućuje </w:t>
      </w:r>
      <w:r w:rsidR="007B2EDD" w:rsidRPr="00BB33A1">
        <w:t>sveobuhvatnu</w:t>
      </w:r>
      <w:r w:rsidRPr="00BB33A1">
        <w:t xml:space="preserve"> </w:t>
      </w:r>
      <w:r w:rsidR="00B4184E" w:rsidRPr="00BB33A1">
        <w:t xml:space="preserve">analizu sustava za uklanjanje onečišćivala: </w:t>
      </w:r>
      <w:r w:rsidRPr="00BB33A1">
        <w:t>strukturn</w:t>
      </w:r>
      <w:r w:rsidR="00B4184E" w:rsidRPr="00BB33A1">
        <w:t>a</w:t>
      </w:r>
      <w:r w:rsidRPr="00BB33A1">
        <w:t xml:space="preserve"> karakterizacij</w:t>
      </w:r>
      <w:r w:rsidR="00B4184E" w:rsidRPr="00BB33A1">
        <w:t>a</w:t>
      </w:r>
      <w:r w:rsidRPr="00BB33A1">
        <w:t xml:space="preserve"> sustava i potvrde uključenja molekule gosta,</w:t>
      </w:r>
      <w:r w:rsidR="00B4184E" w:rsidRPr="00BB33A1">
        <w:t xml:space="preserve"> </w:t>
      </w:r>
      <w:r w:rsidRPr="00BB33A1">
        <w:t>usporedbe metoda kristalizacije</w:t>
      </w:r>
      <w:r w:rsidR="00B4184E" w:rsidRPr="00BB33A1">
        <w:t xml:space="preserve"> te </w:t>
      </w:r>
      <w:r w:rsidR="007B2EDD" w:rsidRPr="00BB33A1">
        <w:t>određivanje kristalične ili amorfne prirode dobivenog materijala</w:t>
      </w:r>
      <w:r w:rsidRPr="00BB33A1">
        <w:t>.</w:t>
      </w:r>
      <w:r w:rsidR="00B4184E" w:rsidRPr="00BB33A1">
        <w:t xml:space="preserve"> </w:t>
      </w:r>
      <w:r w:rsidRPr="00BB33A1">
        <w:t xml:space="preserve">Drugim riječima, ssNMR nudi detaljan uvid u prirodu samog kompleksa i dokazuje formiranje interakcija između CD-a i </w:t>
      </w:r>
      <w:r w:rsidR="008D0389" w:rsidRPr="00BB33A1">
        <w:t>onečišćivala</w:t>
      </w:r>
      <w:r w:rsidRPr="00BB33A1">
        <w:t>.</w:t>
      </w:r>
      <w:r w:rsidR="00140390" w:rsidRPr="00BB33A1">
        <w:t xml:space="preserve"> </w:t>
      </w:r>
      <w:r w:rsidRPr="00BB33A1">
        <w:t>Jedan od takvih primjera uključuje sustav za uklanjanje p-nitrofenola, gdje je ssNMR analizom ustanovljeno da dolazi do smanjenja intenziteta signala jedne karbonilne skupine, što se tumači kao esterifikacija karboksilne skupine poliakrilne kiseline prilikom vezanja s ciklodekstrinom. Nadalje, za razliku od usko definiranih signala hidratiziranih CD-ova, široke rezonancijske linije u spektru dobivenom nakon priprave sustava ukazuju na njegov amorfni karakter.</w:t>
      </w:r>
      <w:r w:rsidR="008745D2" w:rsidRPr="00BB33A1">
        <w:rPr>
          <w:vertAlign w:val="superscript"/>
        </w:rPr>
        <w:t>1</w:t>
      </w:r>
    </w:p>
    <w:p w14:paraId="0EFFED19" w14:textId="060BFD75" w:rsidR="003E3CC1" w:rsidRPr="0047217A" w:rsidRDefault="007F7D02" w:rsidP="0047217A">
      <w:pPr>
        <w:pStyle w:val="OCJENSKIRADOVIOdlomak3NASTAVAKODLOMKA"/>
        <w:ind w:firstLine="720"/>
        <w:rPr>
          <w:vertAlign w:val="superscript"/>
        </w:rPr>
      </w:pPr>
      <w:r w:rsidRPr="00BB33A1">
        <w:t>Tematski odvojeno, ali tehnički srodno područje je primjena CD-ova u senzorskim sustavima za detekciju iona. U tim slučajevima ssNMR se koristi kako bi se potvrdilo uključivanje određenog iona u ciklodekstrinsku strukturu.</w:t>
      </w:r>
      <w:r w:rsidR="008745D2" w:rsidRPr="00BB33A1">
        <w:rPr>
          <w:vertAlign w:val="superscript"/>
        </w:rPr>
        <w:t>1</w:t>
      </w:r>
    </w:p>
    <w:p w14:paraId="63C50B79" w14:textId="36C3FF0E" w:rsidR="00AF2DB6" w:rsidRPr="00BB33A1" w:rsidRDefault="00AF2DB6" w:rsidP="00AF2DB6">
      <w:pPr>
        <w:pStyle w:val="OCJENSKIRADOVI2Podnaslovpoglavlja"/>
      </w:pPr>
      <w:bookmarkStart w:id="18" w:name="_Toc195959690"/>
      <w:r w:rsidRPr="00BB33A1">
        <w:lastRenderedPageBreak/>
        <w:t>Ograničenja i izazovi primjene ssNMR spektroskopije u analizi CD sustava</w:t>
      </w:r>
      <w:bookmarkEnd w:id="18"/>
    </w:p>
    <w:p w14:paraId="53C6E961" w14:textId="5249E627" w:rsidR="001E3443" w:rsidRPr="00BB33A1" w:rsidRDefault="009E3445" w:rsidP="00D42889">
      <w:pPr>
        <w:pStyle w:val="OCJENSKIRADOVIOdlomak3NASTAVAKODLOMKA"/>
        <w:rPr>
          <w:vertAlign w:val="superscript"/>
        </w:rPr>
      </w:pPr>
      <w:r w:rsidRPr="00BB33A1">
        <w:t xml:space="preserve">Unatoč brojnim prednostima </w:t>
      </w:r>
      <w:r w:rsidR="001338B5" w:rsidRPr="00BB33A1">
        <w:t>i širokom primjenom spektroskopije NMR u čvrstom stanju u analizi ciklodekstrinskih sustav</w:t>
      </w:r>
      <w:r w:rsidR="007729C6" w:rsidRPr="00BB33A1">
        <w:t>a, važno je spomenuti i neke njezine izazove i</w:t>
      </w:r>
      <w:r w:rsidR="00F20E0B" w:rsidRPr="00BB33A1">
        <w:t xml:space="preserve"> nedostatke koji mogu utjecati na eksperimentalni plan i interpretaciju rezultata.</w:t>
      </w:r>
      <w:r w:rsidR="008745D2" w:rsidRPr="00BB33A1">
        <w:rPr>
          <w:vertAlign w:val="superscript"/>
        </w:rPr>
        <w:t>1</w:t>
      </w:r>
    </w:p>
    <w:p w14:paraId="3EB0DC57" w14:textId="780F3D28" w:rsidR="00262ADC" w:rsidRPr="00BB33A1" w:rsidRDefault="002B477B" w:rsidP="00A55FB9">
      <w:pPr>
        <w:pStyle w:val="OCJENSKIRADOVIOdlomak3NASTAVAKODLOMKA"/>
        <w:ind w:firstLine="720"/>
        <w:rPr>
          <w:vertAlign w:val="superscript"/>
        </w:rPr>
      </w:pPr>
      <w:r w:rsidRPr="00BB33A1">
        <w:t>R</w:t>
      </w:r>
      <w:r w:rsidR="00262ADC" w:rsidRPr="00BB33A1">
        <w:t xml:space="preserve">ezultati dobiveni ovom metodom nisu uvijek jednoznačni ni lako </w:t>
      </w:r>
      <w:r w:rsidR="00F61240" w:rsidRPr="00BB33A1">
        <w:t>protumačivi</w:t>
      </w:r>
      <w:r w:rsidR="00262ADC" w:rsidRPr="00BB33A1">
        <w:t xml:space="preserve">. Naime, </w:t>
      </w:r>
      <w:r w:rsidR="00262ADC" w:rsidRPr="00BB33A1">
        <w:rPr>
          <w:bCs/>
        </w:rPr>
        <w:t>očekivane promjene u spektrima</w:t>
      </w:r>
      <w:r w:rsidR="00262ADC" w:rsidRPr="00BB33A1">
        <w:t xml:space="preserve"> ciklodekstrinskih sustava često se mogu pokazati </w:t>
      </w:r>
      <w:r w:rsidR="00262ADC" w:rsidRPr="00BB33A1">
        <w:rPr>
          <w:bCs/>
        </w:rPr>
        <w:t>nedovoljno izraženima</w:t>
      </w:r>
      <w:r w:rsidR="00262ADC" w:rsidRPr="00BB33A1">
        <w:t xml:space="preserve"> ili </w:t>
      </w:r>
      <w:r w:rsidR="00262ADC" w:rsidRPr="00BB33A1">
        <w:rPr>
          <w:bCs/>
        </w:rPr>
        <w:t>teško razlučivima</w:t>
      </w:r>
      <w:r w:rsidR="00262ADC" w:rsidRPr="00BB33A1">
        <w:t>, što može proizlaziti iz nekoliko razloga.</w:t>
      </w:r>
      <w:r w:rsidR="006E421A" w:rsidRPr="00BB33A1">
        <w:t xml:space="preserve"> </w:t>
      </w:r>
      <w:r w:rsidR="00262ADC" w:rsidRPr="00BB33A1">
        <w:t xml:space="preserve">Jedan od najčešćih uzroka </w:t>
      </w:r>
      <w:r w:rsidR="006E421A" w:rsidRPr="00BB33A1">
        <w:t>su</w:t>
      </w:r>
      <w:r w:rsidR="00262ADC" w:rsidRPr="00BB33A1">
        <w:t xml:space="preserve"> </w:t>
      </w:r>
      <w:r w:rsidR="00262ADC" w:rsidRPr="00BB33A1">
        <w:rPr>
          <w:bCs/>
        </w:rPr>
        <w:t>slab</w:t>
      </w:r>
      <w:r w:rsidR="006E421A" w:rsidRPr="00BB33A1">
        <w:rPr>
          <w:bCs/>
        </w:rPr>
        <w:t>e</w:t>
      </w:r>
      <w:r w:rsidR="00262ADC" w:rsidRPr="00BB33A1">
        <w:rPr>
          <w:bCs/>
        </w:rPr>
        <w:t xml:space="preserve"> međumolekulsk</w:t>
      </w:r>
      <w:r w:rsidR="006E421A" w:rsidRPr="00BB33A1">
        <w:rPr>
          <w:bCs/>
        </w:rPr>
        <w:t>e</w:t>
      </w:r>
      <w:r w:rsidR="00262ADC" w:rsidRPr="00BB33A1">
        <w:rPr>
          <w:bCs/>
        </w:rPr>
        <w:t xml:space="preserve"> interakcij</w:t>
      </w:r>
      <w:r w:rsidR="006E421A" w:rsidRPr="00BB33A1">
        <w:rPr>
          <w:bCs/>
        </w:rPr>
        <w:t>e</w:t>
      </w:r>
      <w:r w:rsidR="00262ADC" w:rsidRPr="00BB33A1">
        <w:t xml:space="preserve"> između domaćina i gosta, što rezultira </w:t>
      </w:r>
      <w:r w:rsidR="00262ADC" w:rsidRPr="00BB33A1">
        <w:rPr>
          <w:bCs/>
        </w:rPr>
        <w:t xml:space="preserve">samo </w:t>
      </w:r>
      <w:r w:rsidR="00182724" w:rsidRPr="00BB33A1">
        <w:rPr>
          <w:bCs/>
        </w:rPr>
        <w:t>neznatnim</w:t>
      </w:r>
      <w:r w:rsidR="00262ADC" w:rsidRPr="00BB33A1">
        <w:rPr>
          <w:bCs/>
        </w:rPr>
        <w:t xml:space="preserve"> razlikama u kemijskim pomacima</w:t>
      </w:r>
      <w:r w:rsidR="00262ADC" w:rsidRPr="00BB33A1">
        <w:t xml:space="preserve"> između kompleksirane i nekompleksirane</w:t>
      </w:r>
      <w:r w:rsidR="00ED0619" w:rsidRPr="00BB33A1">
        <w:t xml:space="preserve"> (slobodne)</w:t>
      </w:r>
      <w:r w:rsidR="00262ADC" w:rsidRPr="00BB33A1">
        <w:t xml:space="preserve"> molekule gosta. Osim toga,</w:t>
      </w:r>
      <w:r w:rsidR="00347B25" w:rsidRPr="00BB33A1">
        <w:t xml:space="preserve"> </w:t>
      </w:r>
      <w:r w:rsidR="00262ADC" w:rsidRPr="00BB33A1">
        <w:rPr>
          <w:bCs/>
        </w:rPr>
        <w:t>sastav uzorka</w:t>
      </w:r>
      <w:r w:rsidR="00262ADC" w:rsidRPr="00BB33A1">
        <w:t xml:space="preserve"> dodatno </w:t>
      </w:r>
      <w:r w:rsidR="00347B25" w:rsidRPr="00BB33A1">
        <w:t>može za</w:t>
      </w:r>
      <w:r w:rsidR="00262ADC" w:rsidRPr="00BB33A1">
        <w:t>komplicira</w:t>
      </w:r>
      <w:r w:rsidR="00347B25" w:rsidRPr="00BB33A1">
        <w:t>ti</w:t>
      </w:r>
      <w:r w:rsidR="00262ADC" w:rsidRPr="00BB33A1">
        <w:t xml:space="preserve"> spektroskopsku analizu: u ¹³C spektrima ciklodekstrina,</w:t>
      </w:r>
      <w:r w:rsidR="00347B25" w:rsidRPr="00BB33A1">
        <w:t xml:space="preserve"> </w:t>
      </w:r>
      <w:r w:rsidR="00262ADC" w:rsidRPr="00BB33A1">
        <w:t xml:space="preserve">slobodnih ili kompleksiranih, javlja se </w:t>
      </w:r>
      <w:r w:rsidR="00262ADC" w:rsidRPr="00BB33A1">
        <w:rPr>
          <w:bCs/>
        </w:rPr>
        <w:t>velik broj signala unutar širokog raspona od približno 50 do 100 ppm</w:t>
      </w:r>
      <w:r w:rsidR="00262ADC" w:rsidRPr="00BB33A1">
        <w:t xml:space="preserve">, zbog čega </w:t>
      </w:r>
      <w:r w:rsidR="00347B25" w:rsidRPr="00BB33A1">
        <w:t xml:space="preserve">se </w:t>
      </w:r>
      <w:r w:rsidR="00262ADC" w:rsidRPr="00BB33A1">
        <w:t>signali gosta često</w:t>
      </w:r>
      <w:r w:rsidR="00A11E8E" w:rsidRPr="00BB33A1">
        <w:t xml:space="preserve"> </w:t>
      </w:r>
      <w:r w:rsidR="00262ADC" w:rsidRPr="00BB33A1">
        <w:rPr>
          <w:bCs/>
        </w:rPr>
        <w:t>preklapa</w:t>
      </w:r>
      <w:r w:rsidR="00A11E8E" w:rsidRPr="00BB33A1">
        <w:rPr>
          <w:bCs/>
        </w:rPr>
        <w:t>ju</w:t>
      </w:r>
      <w:r w:rsidR="00262ADC" w:rsidRPr="00BB33A1">
        <w:rPr>
          <w:bCs/>
        </w:rPr>
        <w:t xml:space="preserve"> sa signalima CD-a</w:t>
      </w:r>
      <w:r w:rsidR="00262ADC" w:rsidRPr="00BB33A1">
        <w:t>.</w:t>
      </w:r>
      <w:r w:rsidR="004013CA" w:rsidRPr="00BB33A1">
        <w:t xml:space="preserve"> </w:t>
      </w:r>
      <w:r w:rsidR="00262ADC" w:rsidRPr="00BB33A1">
        <w:t>U određenim slučajevima,</w:t>
      </w:r>
      <w:r w:rsidR="004013CA" w:rsidRPr="00BB33A1">
        <w:t xml:space="preserve"> </w:t>
      </w:r>
      <w:r w:rsidR="00262ADC" w:rsidRPr="00BB33A1">
        <w:rPr>
          <w:bCs/>
        </w:rPr>
        <w:t>podešavanje eksperimentalnih parametara</w:t>
      </w:r>
      <w:r w:rsidR="00262ADC" w:rsidRPr="00BB33A1">
        <w:t xml:space="preserve"> kao što su </w:t>
      </w:r>
      <w:r w:rsidR="00262ADC" w:rsidRPr="00BB33A1">
        <w:rPr>
          <w:bCs/>
        </w:rPr>
        <w:t>vrijeme kontakta u CP eksperimentu</w:t>
      </w:r>
      <w:r w:rsidR="00262ADC" w:rsidRPr="00BB33A1">
        <w:t xml:space="preserve"> ili </w:t>
      </w:r>
      <w:r w:rsidR="00262ADC" w:rsidRPr="00BB33A1">
        <w:rPr>
          <w:bCs/>
        </w:rPr>
        <w:t xml:space="preserve">trajanje </w:t>
      </w:r>
      <w:r w:rsidR="00A55FB9" w:rsidRPr="00BB33A1">
        <w:rPr>
          <w:bCs/>
        </w:rPr>
        <w:t xml:space="preserve">relaksacijskog vremena između akvizicija </w:t>
      </w:r>
      <w:r w:rsidR="00262ADC" w:rsidRPr="00BB33A1">
        <w:t xml:space="preserve">može omogućiti selektivno pojačanje signala molekule gosta. No, takav pristup najčešće </w:t>
      </w:r>
      <w:r w:rsidR="00262ADC" w:rsidRPr="00BB33A1">
        <w:rPr>
          <w:bCs/>
        </w:rPr>
        <w:t>nije dostatan</w:t>
      </w:r>
      <w:r w:rsidR="00262ADC" w:rsidRPr="00BB33A1">
        <w:t xml:space="preserve">, budući da su </w:t>
      </w:r>
      <w:r w:rsidR="00262ADC" w:rsidRPr="00BB33A1">
        <w:rPr>
          <w:bCs/>
        </w:rPr>
        <w:t>razlike u relaksacijskim svojstvima između gosta i domaćina često premale</w:t>
      </w:r>
      <w:r w:rsidR="00262ADC" w:rsidRPr="00BB33A1">
        <w:t xml:space="preserve"> da bi ih se uspješno iskoristilo za razdvajanje signala.</w:t>
      </w:r>
      <w:r w:rsidR="008745D2" w:rsidRPr="00BB33A1">
        <w:rPr>
          <w:vertAlign w:val="superscript"/>
        </w:rPr>
        <w:t>1</w:t>
      </w:r>
    </w:p>
    <w:p w14:paraId="37164167" w14:textId="7BAA234F" w:rsidR="00262ADC" w:rsidRPr="00BB33A1" w:rsidRDefault="00262ADC" w:rsidP="00391110">
      <w:pPr>
        <w:pStyle w:val="OCJENSKIRADOVIOdlomak3NASTAVAKODLOMKA"/>
        <w:ind w:firstLine="720"/>
        <w:rPr>
          <w:vertAlign w:val="superscript"/>
        </w:rPr>
      </w:pPr>
      <w:r w:rsidRPr="00BB33A1">
        <w:t>Dodatni izazov proizlazi iz</w:t>
      </w:r>
      <w:r w:rsidRPr="00BB33A1">
        <w:rPr>
          <w:bCs/>
        </w:rPr>
        <w:t xml:space="preserve"> agregatne faze uzorka</w:t>
      </w:r>
      <w:r w:rsidRPr="00BB33A1">
        <w:t xml:space="preserve">. Za razliku od spektara otopina, gdje </w:t>
      </w:r>
      <w:r w:rsidRPr="00BB33A1">
        <w:rPr>
          <w:bCs/>
        </w:rPr>
        <w:t>brz</w:t>
      </w:r>
      <w:r w:rsidR="004013CA" w:rsidRPr="00BB33A1">
        <w:rPr>
          <w:bCs/>
        </w:rPr>
        <w:t>a</w:t>
      </w:r>
      <w:r w:rsidRPr="00BB33A1">
        <w:rPr>
          <w:bCs/>
        </w:rPr>
        <w:t xml:space="preserve"> molekulsk</w:t>
      </w:r>
      <w:r w:rsidR="004013CA" w:rsidRPr="00BB33A1">
        <w:rPr>
          <w:bCs/>
        </w:rPr>
        <w:t>a</w:t>
      </w:r>
      <w:r w:rsidRPr="00BB33A1">
        <w:rPr>
          <w:bCs/>
        </w:rPr>
        <w:t xml:space="preserve"> gibanja </w:t>
      </w:r>
      <w:r w:rsidR="00936A7C" w:rsidRPr="00BB33A1">
        <w:rPr>
          <w:bCs/>
        </w:rPr>
        <w:t>uprosječuju</w:t>
      </w:r>
      <w:r w:rsidRPr="00BB33A1">
        <w:rPr>
          <w:bCs/>
        </w:rPr>
        <w:t xml:space="preserve"> anizotropne interakcije</w:t>
      </w:r>
      <w:r w:rsidRPr="00BB33A1">
        <w:t xml:space="preserve">, rezultirajući spektri u čvrstom stanju </w:t>
      </w:r>
      <w:r w:rsidRPr="00BB33A1">
        <w:rPr>
          <w:bCs/>
        </w:rPr>
        <w:t>odražavaju puni hamiltonijan međuatomskih interakcija</w:t>
      </w:r>
      <w:r w:rsidRPr="00BB33A1">
        <w:t>. Zbog toga dolazi do značajnog proširenja linija u spektru</w:t>
      </w:r>
      <w:r w:rsidR="00391110" w:rsidRPr="00BB33A1">
        <w:t xml:space="preserve">, </w:t>
      </w:r>
      <w:r w:rsidRPr="00BB33A1">
        <w:t>nerijetko izvan dostupnog spektralnog raspona.</w:t>
      </w:r>
      <w:r w:rsidR="00391110" w:rsidRPr="00BB33A1">
        <w:t xml:space="preserve"> </w:t>
      </w:r>
      <w:r w:rsidRPr="00BB33A1">
        <w:t xml:space="preserve">Kako bi se smanjila širina signala, u čvrstom stanju se primjenjuje </w:t>
      </w:r>
      <w:r w:rsidRPr="00BB33A1">
        <w:rPr>
          <w:bCs/>
        </w:rPr>
        <w:t xml:space="preserve">rotacija uzorka </w:t>
      </w:r>
      <w:r w:rsidR="00391110" w:rsidRPr="00BB33A1">
        <w:rPr>
          <w:bCs/>
        </w:rPr>
        <w:t>pri</w:t>
      </w:r>
      <w:r w:rsidRPr="00BB33A1">
        <w:rPr>
          <w:bCs/>
        </w:rPr>
        <w:t xml:space="preserve"> magičn</w:t>
      </w:r>
      <w:r w:rsidR="00391110" w:rsidRPr="00BB33A1">
        <w:rPr>
          <w:bCs/>
        </w:rPr>
        <w:t>om</w:t>
      </w:r>
      <w:r w:rsidRPr="00BB33A1">
        <w:rPr>
          <w:bCs/>
        </w:rPr>
        <w:t xml:space="preserve"> kut</w:t>
      </w:r>
      <w:r w:rsidR="00391110" w:rsidRPr="00BB33A1">
        <w:rPr>
          <w:bCs/>
        </w:rPr>
        <w:t xml:space="preserve">u </w:t>
      </w:r>
      <w:r w:rsidRPr="00BB33A1">
        <w:rPr>
          <w:bCs/>
        </w:rPr>
        <w:t>(MAS)</w:t>
      </w:r>
      <w:r w:rsidRPr="00BB33A1">
        <w:t xml:space="preserve">, kojom se postiže </w:t>
      </w:r>
      <w:r w:rsidRPr="00BB33A1">
        <w:rPr>
          <w:bCs/>
        </w:rPr>
        <w:t>fizikalno uprosječenje tenzora anizotropije kemijskog pomaka</w:t>
      </w:r>
      <w:r w:rsidRPr="00BB33A1">
        <w:t xml:space="preserve"> i smanjenje dipolarnih interakcija. Iako MAS pri frekvencijama rotacije oko 15 kHz (što je standard za većinu ssNMR sondi) značajno poboljšava rezoluciju, </w:t>
      </w:r>
      <w:r w:rsidRPr="00BB33A1">
        <w:rPr>
          <w:bCs/>
        </w:rPr>
        <w:t>u potpunosti ne uklanja dipolne sprege</w:t>
      </w:r>
      <w:r w:rsidRPr="00BB33A1">
        <w:t xml:space="preserve">, osobito one koje uključuju protone. Zbog toga se tijekom prikupljanja signala </w:t>
      </w:r>
      <w:r w:rsidRPr="00BB33A1">
        <w:rPr>
          <w:bCs/>
        </w:rPr>
        <w:t>često primjenjuje visokosnažno rasprezanje</w:t>
      </w:r>
      <w:r w:rsidRPr="00BB33A1">
        <w:t xml:space="preserve"> kako bi se dodatno suzbile</w:t>
      </w:r>
      <w:r w:rsidR="00AC3098" w:rsidRPr="00BB33A1">
        <w:t xml:space="preserve"> te </w:t>
      </w:r>
      <w:r w:rsidRPr="00BB33A1">
        <w:t>interakcije.</w:t>
      </w:r>
      <w:r w:rsidR="008745D2" w:rsidRPr="00BB33A1">
        <w:rPr>
          <w:vertAlign w:val="superscript"/>
        </w:rPr>
        <w:t>1</w:t>
      </w:r>
    </w:p>
    <w:p w14:paraId="6BD7D89E" w14:textId="2EAEE03D" w:rsidR="00262ADC" w:rsidRPr="00BB33A1" w:rsidRDefault="00262ADC" w:rsidP="00391110">
      <w:pPr>
        <w:pStyle w:val="OCJENSKIRADOVIOdlomak3NASTAVAKODLOMKA"/>
        <w:ind w:firstLine="720"/>
      </w:pPr>
      <w:r w:rsidRPr="00BB33A1">
        <w:t xml:space="preserve">Uz tehničke izazove vezane uz interpretaciju signala, prisutni su i </w:t>
      </w:r>
      <w:r w:rsidRPr="00BB33A1">
        <w:rPr>
          <w:bCs/>
        </w:rPr>
        <w:t>praktični nedostaci</w:t>
      </w:r>
      <w:r w:rsidRPr="00BB33A1">
        <w:t xml:space="preserve"> metode. To uključuje </w:t>
      </w:r>
      <w:r w:rsidRPr="00BB33A1">
        <w:rPr>
          <w:bCs/>
        </w:rPr>
        <w:t>relativno visoku cijenu analize</w:t>
      </w:r>
      <w:r w:rsidRPr="00BB33A1">
        <w:t xml:space="preserve">, ali i </w:t>
      </w:r>
      <w:r w:rsidRPr="00BB33A1">
        <w:rPr>
          <w:bCs/>
        </w:rPr>
        <w:t>dulje trajanje mjerenja</w:t>
      </w:r>
      <w:r w:rsidRPr="00BB33A1">
        <w:t xml:space="preserve"> potrebnog za dobivanje spektra zadovoljavajuće kvalitete</w:t>
      </w:r>
      <w:r w:rsidR="00391110" w:rsidRPr="00BB33A1">
        <w:t xml:space="preserve">, </w:t>
      </w:r>
      <w:r w:rsidRPr="00BB33A1">
        <w:t xml:space="preserve">osobito kada se uspoređuje s jednostavnijim i </w:t>
      </w:r>
      <w:r w:rsidRPr="00BB33A1">
        <w:lastRenderedPageBreak/>
        <w:t xml:space="preserve">bržim tehnikama kao što su </w:t>
      </w:r>
      <w:r w:rsidR="00E22763" w:rsidRPr="00644B7D">
        <w:t xml:space="preserve">infracrvena spektroskopija s Fourierovom transformacijom (engl. </w:t>
      </w:r>
      <w:r w:rsidR="00E22763" w:rsidRPr="00644B7D">
        <w:rPr>
          <w:i/>
          <w:iCs/>
        </w:rPr>
        <w:t>Fourier-transform infrared spectroscopy</w:t>
      </w:r>
      <w:r w:rsidR="00E22763">
        <w:rPr>
          <w:i/>
          <w:iCs/>
        </w:rPr>
        <w:t xml:space="preserve">, </w:t>
      </w:r>
      <w:r w:rsidR="00E22763" w:rsidRPr="00E22763">
        <w:rPr>
          <w:iCs/>
        </w:rPr>
        <w:t>FT-IR</w:t>
      </w:r>
      <w:r w:rsidR="00E22763" w:rsidRPr="00644B7D">
        <w:t>)</w:t>
      </w:r>
      <w:r w:rsidR="00E22763">
        <w:t xml:space="preserve"> </w:t>
      </w:r>
      <w:r w:rsidRPr="00BB33A1">
        <w:t xml:space="preserve">ili </w:t>
      </w:r>
      <w:r w:rsidRPr="00BB33A1">
        <w:rPr>
          <w:bCs/>
        </w:rPr>
        <w:t>rendgenska difrakcija na prahu (</w:t>
      </w:r>
      <w:r w:rsidR="00391110" w:rsidRPr="00BB33A1">
        <w:rPr>
          <w:bCs/>
        </w:rPr>
        <w:t xml:space="preserve">engl. </w:t>
      </w:r>
      <w:r w:rsidR="00391110" w:rsidRPr="00BB33A1">
        <w:rPr>
          <w:bCs/>
          <w:i/>
        </w:rPr>
        <w:t>powder X-ray diffraction</w:t>
      </w:r>
      <w:r w:rsidR="00391110" w:rsidRPr="00BB33A1">
        <w:rPr>
          <w:bCs/>
        </w:rPr>
        <w:t xml:space="preserve">, </w:t>
      </w:r>
      <w:r w:rsidRPr="00BB33A1">
        <w:rPr>
          <w:bCs/>
        </w:rPr>
        <w:t>PXRD)</w:t>
      </w:r>
      <w:r w:rsidRPr="00BB33A1">
        <w:t>.</w:t>
      </w:r>
      <w:r w:rsidR="008C6116" w:rsidRPr="00BB33A1">
        <w:rPr>
          <w:vertAlign w:val="superscript"/>
        </w:rPr>
        <w:t>1</w:t>
      </w:r>
    </w:p>
    <w:p w14:paraId="24A86CA9" w14:textId="77777777" w:rsidR="00EF1EEE" w:rsidRPr="00BB33A1" w:rsidRDefault="00EF1EEE" w:rsidP="008C6116">
      <w:pPr>
        <w:pStyle w:val="OCJENSKIRADOVI1Naslovpoglavlja"/>
        <w:numPr>
          <w:ilvl w:val="0"/>
          <w:numId w:val="0"/>
        </w:numPr>
        <w:sectPr w:rsidR="00EF1EEE" w:rsidRPr="00BB33A1" w:rsidSect="00AA02A8">
          <w:headerReference w:type="default" r:id="rId19"/>
          <w:pgSz w:w="11907" w:h="16840" w:code="9"/>
          <w:pgMar w:top="1701" w:right="1418" w:bottom="1701" w:left="1418" w:header="1134" w:footer="1134" w:gutter="0"/>
          <w:cols w:space="708"/>
          <w:docGrid w:linePitch="360"/>
        </w:sectPr>
      </w:pPr>
      <w:bookmarkStart w:id="19" w:name="_Toc355955761"/>
    </w:p>
    <w:p w14:paraId="3A167BCD" w14:textId="64C2A1C2" w:rsidR="00424536" w:rsidRPr="00BB33A1" w:rsidRDefault="00424536" w:rsidP="000C2755">
      <w:pPr>
        <w:pStyle w:val="OCJENSKIRADOVI1Naslovpoglavlja"/>
        <w:spacing w:before="960"/>
      </w:pPr>
      <w:bookmarkStart w:id="20" w:name="_Toc195959691"/>
      <w:r w:rsidRPr="00BB33A1">
        <w:lastRenderedPageBreak/>
        <w:t>ZAKLJUČAK</w:t>
      </w:r>
      <w:bookmarkEnd w:id="19"/>
      <w:bookmarkEnd w:id="20"/>
    </w:p>
    <w:p w14:paraId="369B42B1" w14:textId="20AE84CE" w:rsidR="00A57166" w:rsidRPr="00A57166" w:rsidRDefault="00A57166" w:rsidP="00750E73">
      <w:pPr>
        <w:pStyle w:val="OCJENSKIRADOVIOdlomak1PRVIODLOMAK"/>
      </w:pPr>
      <w:r w:rsidRPr="00BB33A1">
        <w:t>Spektroskopija nuklearne magnetske rezonancije u čvrstom stanju (ssNMR) pokazala se</w:t>
      </w:r>
      <w:r w:rsidR="00DC0FCC" w:rsidRPr="00BB33A1">
        <w:t xml:space="preserve"> iznimno korisnom analitičkom tehnikom </w:t>
      </w:r>
      <w:r w:rsidRPr="00BB33A1">
        <w:t>u proučavanju supramolekulskih sustava temeljenih na ciklodekstrinima. Iako nije među najčešće korištenim</w:t>
      </w:r>
      <w:r w:rsidR="00D55F40" w:rsidRPr="00BB33A1">
        <w:t xml:space="preserve"> </w:t>
      </w:r>
      <w:r w:rsidRPr="00BB33A1">
        <w:t>tehnikama za ovu vrstu materijala,</w:t>
      </w:r>
      <w:r w:rsidR="00D55F40" w:rsidRPr="00BB33A1">
        <w:t xml:space="preserve"> </w:t>
      </w:r>
      <w:r w:rsidRPr="00BB33A1">
        <w:t>njezina svestranost i sposobnost detekcije lokalnih strukturnih i dinamičkih promjena čini j</w:t>
      </w:r>
      <w:r w:rsidR="00D55F40" w:rsidRPr="00BB33A1">
        <w:t xml:space="preserve">u </w:t>
      </w:r>
      <w:r w:rsidRPr="00BB33A1">
        <w:t>posebno pogodnom za dublju karakterizaciju ovih kompleksnih sustava.</w:t>
      </w:r>
      <w:r w:rsidR="00D55F40" w:rsidRPr="00BB33A1">
        <w:t xml:space="preserve"> Spektroskopija</w:t>
      </w:r>
      <w:r w:rsidRPr="00A57166">
        <w:t xml:space="preserve"> ssNMR omogućuje analizu uzoraka različitog stupnja uređenosti</w:t>
      </w:r>
      <w:r w:rsidR="00D55F40" w:rsidRPr="00BB33A1">
        <w:t xml:space="preserve">, </w:t>
      </w:r>
      <w:r w:rsidRPr="00A57166">
        <w:t>od amorfnih, mikrokristaličnih i polimorfnih, pa sve do visoko kristaličnih materijala</w:t>
      </w:r>
      <w:r w:rsidR="00D55F40" w:rsidRPr="00BB33A1">
        <w:t xml:space="preserve">, </w:t>
      </w:r>
      <w:r w:rsidRPr="00A57166">
        <w:t xml:space="preserve">ali i smjesa više faza. Korištenjem tehnika poput ¹³C CP-MAS, u kombinaciji s eksperimentima izravne polarizacije, varijabilnog vremena kontakta, 2D korelacijskih spektara ili relaksacijskih mjerenja, </w:t>
      </w:r>
      <w:r w:rsidR="00F4628F" w:rsidRPr="00BB33A1">
        <w:t xml:space="preserve">omogućena je detaljna karakterizacija kompleksnih sustava u čvrstom stanju. Tako je </w:t>
      </w:r>
      <w:r w:rsidRPr="00A57166">
        <w:t>moguće dobiti informacije o</w:t>
      </w:r>
      <w:r w:rsidR="00D55F40" w:rsidRPr="00BB33A1">
        <w:t xml:space="preserve"> </w:t>
      </w:r>
      <w:r w:rsidRPr="00A57166">
        <w:t>prirodi i stabilnosti uključenja molekule gosta u šupljinu CD-a,</w:t>
      </w:r>
      <w:r w:rsidR="00D55F40" w:rsidRPr="00BB33A1">
        <w:t xml:space="preserve"> </w:t>
      </w:r>
      <w:r w:rsidRPr="00A57166">
        <w:t>omjeru domaćin:gost,</w:t>
      </w:r>
      <w:r w:rsidR="00D55F40" w:rsidRPr="00BB33A1">
        <w:t xml:space="preserve"> </w:t>
      </w:r>
      <w:r w:rsidRPr="00A57166">
        <w:t>stupnju kristaličnosti sustava</w:t>
      </w:r>
      <w:r w:rsidR="00D55F40" w:rsidRPr="00BB33A1">
        <w:t xml:space="preserve"> te </w:t>
      </w:r>
      <w:r w:rsidRPr="00A57166">
        <w:t>prisutnosti slobodnih i kompleksiranih komponenti u čvrstoj fazi.</w:t>
      </w:r>
      <w:r w:rsidR="00750E73" w:rsidRPr="00BB33A1">
        <w:t xml:space="preserve"> </w:t>
      </w:r>
      <w:r w:rsidRPr="00A57166">
        <w:t xml:space="preserve">Dodatno, ssNMR omogućuje identifikaciju mjesta interakcije unutar molekule gosta, a razlike u kemijskim pomacima između kompleksiranog i slobodnog oblika mogu poslužiti za karakterizaciju tipa supramolekularne interakcije. U nekim slučajevima moguće je čak i odrediti energiju aktivacije reakcije kompleksiranja, što metodu čini korisnom i u kinetičkim </w:t>
      </w:r>
      <w:r w:rsidR="003E1B31" w:rsidRPr="00BB33A1">
        <w:t>istraživanjima</w:t>
      </w:r>
      <w:r w:rsidRPr="00A57166">
        <w:t>.</w:t>
      </w:r>
    </w:p>
    <w:p w14:paraId="7D5A4575" w14:textId="77B0050F" w:rsidR="00A57166" w:rsidRPr="00A57166" w:rsidRDefault="000D2B6E" w:rsidP="00750E73">
      <w:pPr>
        <w:pStyle w:val="OCJENSKIRADOVIOdlomak3NASTAVAKODLOMKA"/>
        <w:ind w:firstLine="720"/>
      </w:pPr>
      <w:r w:rsidRPr="00BB33A1">
        <w:t>Metoda je pronašla primjenu u različitim područjima</w:t>
      </w:r>
      <w:r w:rsidR="00750E73" w:rsidRPr="00BB33A1">
        <w:t xml:space="preserve">, </w:t>
      </w:r>
      <w:r w:rsidR="00A57166" w:rsidRPr="00A57166">
        <w:t>od farmaceutskih formulacija,</w:t>
      </w:r>
      <w:r w:rsidRPr="00BB33A1">
        <w:t xml:space="preserve"> </w:t>
      </w:r>
      <w:r w:rsidR="00A57166" w:rsidRPr="00A57166">
        <w:t>funkcionaliziranih nosača, nanospužvi i senzorskih sustava, do sustava za uklanjanje onečišćivala</w:t>
      </w:r>
      <w:r w:rsidR="00194A9E" w:rsidRPr="00BB33A1">
        <w:t xml:space="preserve"> iz okoliša</w:t>
      </w:r>
      <w:r w:rsidR="00A57166" w:rsidRPr="00A57166">
        <w:t>. Unatoč tehničkim izazovima, poput dugog vremena mjerenja, preklapanja signala i ograničene osjetljivosti za neke jezgre, metoda pokazuje izniman potencijal za kompleksnu</w:t>
      </w:r>
      <w:r w:rsidR="00750E73" w:rsidRPr="00BB33A1">
        <w:t xml:space="preserve"> i </w:t>
      </w:r>
      <w:r w:rsidR="00A57166" w:rsidRPr="00A57166">
        <w:t xml:space="preserve">nedestruktivnu analizu </w:t>
      </w:r>
      <w:r w:rsidR="00750E73" w:rsidRPr="00BB33A1">
        <w:t xml:space="preserve">krutih </w:t>
      </w:r>
      <w:r w:rsidR="00A57166" w:rsidRPr="00A57166">
        <w:t>materijala</w:t>
      </w:r>
      <w:r w:rsidR="00750E73" w:rsidRPr="00BB33A1">
        <w:t>.</w:t>
      </w:r>
    </w:p>
    <w:p w14:paraId="662DEA20" w14:textId="26FE1EBD" w:rsidR="00750E73" w:rsidRPr="00BB33A1" w:rsidRDefault="00750E73" w:rsidP="00750E73">
      <w:pPr>
        <w:pStyle w:val="OCJENSKIRADOVIOdlomak3NASTAVAKODLOMKA"/>
        <w:ind w:firstLine="720"/>
      </w:pPr>
      <w:r w:rsidRPr="00BB33A1">
        <w:t>O</w:t>
      </w:r>
      <w:r w:rsidR="00A57166" w:rsidRPr="00A57166">
        <w:t xml:space="preserve">bzirom na stalni napredak i sve širu dostupnost opreme, može se očekivati da će ssNMR spektroskopija uskoro postati standardni pristup u analizi svih tipova ciklodekstrinskih materijala u čvrstom stanju. </w:t>
      </w:r>
      <w:r w:rsidR="0034486A" w:rsidRPr="00BB33A1">
        <w:t>Sposobnost ssNMR-a da istovremeno pruži informacije o sastavu, strukturi i dinamici čini je jedinstvenim i nezamjenjivim alatom.</w:t>
      </w:r>
    </w:p>
    <w:p w14:paraId="03733765" w14:textId="09F97F0D" w:rsidR="00750E73" w:rsidRPr="00BB33A1" w:rsidRDefault="00750E73" w:rsidP="00750E73">
      <w:pPr>
        <w:pStyle w:val="OCJENSKIRADOVIOdlomak3NASTAVAKODLOMKA"/>
        <w:ind w:firstLine="720"/>
        <w:sectPr w:rsidR="00750E73" w:rsidRPr="00BB33A1" w:rsidSect="00AA02A8">
          <w:headerReference w:type="default" r:id="rId20"/>
          <w:pgSz w:w="11907" w:h="16840" w:code="9"/>
          <w:pgMar w:top="1701" w:right="1418" w:bottom="1701" w:left="1418" w:header="1134" w:footer="1134" w:gutter="0"/>
          <w:cols w:space="708"/>
          <w:docGrid w:linePitch="360"/>
        </w:sectPr>
      </w:pPr>
    </w:p>
    <w:p w14:paraId="7620DDD4" w14:textId="6B342EA6" w:rsidR="00424536" w:rsidRPr="00BB33A1" w:rsidRDefault="00424536" w:rsidP="001C6639">
      <w:pPr>
        <w:pStyle w:val="OCJENSKIRADOVI1Naslovpoglavlja"/>
      </w:pPr>
      <w:bookmarkStart w:id="21" w:name="_Toc355955762"/>
      <w:bookmarkStart w:id="22" w:name="_Toc195959692"/>
      <w:r w:rsidRPr="00BB33A1">
        <w:lastRenderedPageBreak/>
        <w:t>Popis oznak</w:t>
      </w:r>
      <w:r w:rsidR="0087382F" w:rsidRPr="00BB33A1">
        <w:t>A</w:t>
      </w:r>
      <w:r w:rsidRPr="00BB33A1">
        <w:t>, kratic</w:t>
      </w:r>
      <w:r w:rsidR="0087382F" w:rsidRPr="00BB33A1">
        <w:t xml:space="preserve">A </w:t>
      </w:r>
      <w:r w:rsidRPr="00BB33A1">
        <w:t>i simbol</w:t>
      </w:r>
      <w:r w:rsidR="0087382F" w:rsidRPr="00BB33A1">
        <w:t>A</w:t>
      </w:r>
      <w:bookmarkEnd w:id="21"/>
      <w:r w:rsidRPr="00BB33A1">
        <w:t xml:space="preserve"> (</w:t>
      </w:r>
      <w:r w:rsidRPr="00BB33A1">
        <w:rPr>
          <w:caps w:val="0"/>
        </w:rPr>
        <w:t>prema potrebi</w:t>
      </w:r>
      <w:r w:rsidRPr="00BB33A1">
        <w:t>)</w:t>
      </w:r>
      <w:bookmarkEnd w:id="22"/>
    </w:p>
    <w:p w14:paraId="19178F37" w14:textId="1D476E99" w:rsidR="00424536" w:rsidRPr="00BB33A1" w:rsidRDefault="00644B7D" w:rsidP="001C6639">
      <w:pPr>
        <w:pStyle w:val="OCJENSKIRADOVIOdlomak3NASTAVAKODLOMKA"/>
      </w:pPr>
      <w:r w:rsidRPr="00644B7D">
        <w:t xml:space="preserve">α-CD ‒ α-ciklodekstrin (engl. </w:t>
      </w:r>
      <w:r w:rsidRPr="00644B7D">
        <w:rPr>
          <w:i/>
          <w:iCs/>
        </w:rPr>
        <w:t>α-cyclodextrin</w:t>
      </w:r>
      <w:r w:rsidRPr="00644B7D">
        <w:t xml:space="preserve">) </w:t>
      </w:r>
    </w:p>
    <w:p w14:paraId="2B74FF53" w14:textId="6F2D596F" w:rsidR="00644B7D" w:rsidRPr="00644B7D" w:rsidRDefault="00644B7D" w:rsidP="00644B7D">
      <w:pPr>
        <w:pStyle w:val="OCJENSKIRADOVIOdlomak3NASTAVAKODLOMKA"/>
      </w:pPr>
      <w:r w:rsidRPr="00644B7D">
        <w:t xml:space="preserve">β-CD ‒ β-ciklodekstrin (engl. </w:t>
      </w:r>
      <w:r w:rsidRPr="00644B7D">
        <w:rPr>
          <w:i/>
          <w:iCs/>
        </w:rPr>
        <w:t>β-cyclodextrin</w:t>
      </w:r>
      <w:r w:rsidRPr="00644B7D">
        <w:t xml:space="preserve">) </w:t>
      </w:r>
    </w:p>
    <w:p w14:paraId="06139D83" w14:textId="04128FF7" w:rsidR="00E25FD6" w:rsidRDefault="00644B7D" w:rsidP="00644B7D">
      <w:pPr>
        <w:pStyle w:val="OCJENSKIRADOVIOdlomak3NASTAVAKODLOMKA"/>
      </w:pPr>
      <w:r w:rsidRPr="00644B7D">
        <w:t xml:space="preserve">CD ‒ ciklodekstrin (engl. </w:t>
      </w:r>
      <w:r w:rsidRPr="00644B7D">
        <w:rPr>
          <w:i/>
          <w:iCs/>
        </w:rPr>
        <w:t>cyclodextrin</w:t>
      </w:r>
      <w:r w:rsidRPr="00644B7D">
        <w:t>)</w:t>
      </w:r>
    </w:p>
    <w:p w14:paraId="57299ED1" w14:textId="4FFBB1F6" w:rsidR="00E25FD6" w:rsidRDefault="00E25FD6" w:rsidP="00644B7D">
      <w:pPr>
        <w:pStyle w:val="OCJENSKIRADOVIOdlomak3NASTAVAKODLOMKA"/>
      </w:pPr>
      <w:r>
        <w:t xml:space="preserve">CP </w:t>
      </w:r>
      <w:r w:rsidR="00E22763">
        <w:t>–</w:t>
      </w:r>
      <w:r>
        <w:t xml:space="preserve"> </w:t>
      </w:r>
      <w:r w:rsidR="00E22763">
        <w:t>križna polarizacija</w:t>
      </w:r>
      <w:r w:rsidRPr="00BB33A1">
        <w:t>(engl. cross–polarization)</w:t>
      </w:r>
    </w:p>
    <w:p w14:paraId="05E70868" w14:textId="1FDE5D09" w:rsidR="00E22763" w:rsidRDefault="00E22763" w:rsidP="00644B7D">
      <w:pPr>
        <w:pStyle w:val="OCJENSKIRADOVIOdlomak3NASTAVAKODLOMKA"/>
      </w:pPr>
      <w:r>
        <w:t xml:space="preserve">CP-MAS – </w:t>
      </w:r>
      <w:r w:rsidRPr="00BB33A1">
        <w:t xml:space="preserve">vrtnja pri magičnim kutem </w:t>
      </w:r>
      <w:r>
        <w:t xml:space="preserve">uz križnu polarizaciju </w:t>
      </w:r>
      <w:r w:rsidRPr="00BB33A1">
        <w:t xml:space="preserve">(engl. </w:t>
      </w:r>
      <w:r w:rsidRPr="00BB33A1">
        <w:rPr>
          <w:i/>
          <w:iCs/>
        </w:rPr>
        <w:t>cross-polarization magic angle spinning</w:t>
      </w:r>
      <w:r>
        <w:t>)</w:t>
      </w:r>
    </w:p>
    <w:p w14:paraId="194E91EC" w14:textId="77777777" w:rsidR="00D0323F" w:rsidRPr="00644B7D" w:rsidRDefault="00D0323F" w:rsidP="00D0323F">
      <w:pPr>
        <w:pStyle w:val="OCJENSKIRADOVIOdlomak3NASTAVAKODLOMKA"/>
      </w:pPr>
      <w:r w:rsidRPr="00644B7D">
        <w:t xml:space="preserve">DSC ‒ diferencijalna pretražna kalorimetrija (engl. </w:t>
      </w:r>
      <w:r w:rsidRPr="00644B7D">
        <w:rPr>
          <w:i/>
          <w:iCs/>
        </w:rPr>
        <w:t>differential scanning calorimetry</w:t>
      </w:r>
      <w:r w:rsidRPr="00644B7D">
        <w:t>)</w:t>
      </w:r>
    </w:p>
    <w:p w14:paraId="30A3DC7E" w14:textId="61B7FD50" w:rsidR="00D0323F" w:rsidRDefault="00D0323F" w:rsidP="00644B7D">
      <w:pPr>
        <w:pStyle w:val="OCJENSKIRADOVIOdlomak3NASTAVAKODLOMKA"/>
      </w:pPr>
      <w:r>
        <w:t xml:space="preserve">DP – </w:t>
      </w:r>
      <w:r w:rsidRPr="00BB33A1">
        <w:t>izravn</w:t>
      </w:r>
      <w:r>
        <w:t xml:space="preserve">a </w:t>
      </w:r>
      <w:r w:rsidRPr="00BB33A1">
        <w:t>polarizacij</w:t>
      </w:r>
      <w:r>
        <w:t xml:space="preserve">a </w:t>
      </w:r>
      <w:r w:rsidRPr="00BB33A1">
        <w:t xml:space="preserve">(engl. </w:t>
      </w:r>
      <w:r w:rsidRPr="00BB33A1">
        <w:rPr>
          <w:i/>
          <w:iCs/>
        </w:rPr>
        <w:t>direct polarization</w:t>
      </w:r>
      <w:r w:rsidRPr="00BB33A1">
        <w:t>)</w:t>
      </w:r>
    </w:p>
    <w:p w14:paraId="08376D61" w14:textId="4D961950" w:rsidR="00E22763" w:rsidRDefault="00E22763" w:rsidP="00644B7D">
      <w:pPr>
        <w:pStyle w:val="OCJENSKIRADOVIOdlomak3NASTAVAKODLOMKA"/>
      </w:pPr>
      <w:r>
        <w:t xml:space="preserve">EFV – </w:t>
      </w:r>
      <w:r w:rsidRPr="00BB33A1">
        <w:t>efavirenz</w:t>
      </w:r>
    </w:p>
    <w:p w14:paraId="1255EB9B" w14:textId="61585BB4" w:rsidR="00E22763" w:rsidRDefault="00E22763" w:rsidP="00E22763">
      <w:pPr>
        <w:pStyle w:val="OCJENSKIRADOVIOdlomak3NASTAVAKODLOMKA"/>
      </w:pPr>
      <w:r w:rsidRPr="00644B7D">
        <w:t>FT</w:t>
      </w:r>
      <w:r>
        <w:t>-</w:t>
      </w:r>
      <w:r w:rsidRPr="00644B7D">
        <w:t xml:space="preserve">IR ‒ infracrvena spektroskopija s Fourierovom transformacijom (engl. </w:t>
      </w:r>
      <w:r w:rsidRPr="00644B7D">
        <w:rPr>
          <w:i/>
          <w:iCs/>
        </w:rPr>
        <w:t>Fourier-transform infrared spectroscopy</w:t>
      </w:r>
      <w:r w:rsidRPr="00644B7D">
        <w:t>)</w:t>
      </w:r>
    </w:p>
    <w:p w14:paraId="15C2F6FD" w14:textId="10134FEA" w:rsidR="00D0323F" w:rsidRPr="00644B7D" w:rsidRDefault="00D0323F" w:rsidP="00E22763">
      <w:pPr>
        <w:pStyle w:val="OCJENSKIRADOVIOdlomak3NASTAVAKODLOMKA"/>
      </w:pPr>
      <w:r w:rsidRPr="00644B7D">
        <w:t xml:space="preserve">γ-CD ‒ γ-ciklodekstrin (engl. </w:t>
      </w:r>
      <w:r w:rsidRPr="00644B7D">
        <w:rPr>
          <w:i/>
          <w:iCs/>
        </w:rPr>
        <w:t>γ-cyclodextrin</w:t>
      </w:r>
      <w:r w:rsidRPr="00644B7D">
        <w:t>)</w:t>
      </w:r>
    </w:p>
    <w:p w14:paraId="3E0B11AE" w14:textId="6EECD8A3" w:rsidR="00E22763" w:rsidRDefault="00E22763" w:rsidP="00644B7D">
      <w:pPr>
        <w:pStyle w:val="OCJENSKIRADOVIOdlomak3NASTAVAKODLOMKA"/>
      </w:pPr>
      <w:r>
        <w:t>GCOSY – (</w:t>
      </w:r>
      <w:r w:rsidRPr="00BB33A1">
        <w:t xml:space="preserve">engl. </w:t>
      </w:r>
      <w:r w:rsidRPr="00BB33A1">
        <w:rPr>
          <w:i/>
          <w:iCs/>
        </w:rPr>
        <w:t>Gradient Correlation SpectroscopY</w:t>
      </w:r>
      <w:r w:rsidRPr="00BB33A1">
        <w:t>)</w:t>
      </w:r>
    </w:p>
    <w:p w14:paraId="6074C6D6" w14:textId="790D390F" w:rsidR="00E22763" w:rsidRDefault="00E22763" w:rsidP="00644B7D">
      <w:pPr>
        <w:pStyle w:val="OCJENSKIRADOVIOdlomak3NASTAVAKODLOMKA"/>
      </w:pPr>
      <w:r>
        <w:t xml:space="preserve">GHSQC – </w:t>
      </w:r>
      <w:r w:rsidRPr="00BB33A1">
        <w:t xml:space="preserve">(engl. </w:t>
      </w:r>
      <w:r w:rsidRPr="00BB33A1">
        <w:rPr>
          <w:i/>
          <w:iCs/>
        </w:rPr>
        <w:t>Gradient Heteronuclear Single Quantum Coherence Spectroscopy</w:t>
      </w:r>
      <w:r w:rsidRPr="00BB33A1">
        <w:t>)</w:t>
      </w:r>
    </w:p>
    <w:p w14:paraId="0B52F362" w14:textId="0DADB140" w:rsidR="000F17BA" w:rsidRPr="00644B7D" w:rsidRDefault="000F17BA" w:rsidP="00644B7D">
      <w:pPr>
        <w:pStyle w:val="OCJENSKIRADOVIOdlomak3NASTAVAKODLOMKA"/>
      </w:pPr>
      <w:r>
        <w:t xml:space="preserve">HETCOR – </w:t>
      </w:r>
      <w:r w:rsidRPr="00BB33A1">
        <w:t xml:space="preserve">heteronuklearna korelacija kemijskih pomaka (engl. </w:t>
      </w:r>
      <w:r w:rsidRPr="00BB33A1">
        <w:rPr>
          <w:i/>
          <w:iCs/>
        </w:rPr>
        <w:t>heteronuclear correlation</w:t>
      </w:r>
      <w:r>
        <w:t>)</w:t>
      </w:r>
    </w:p>
    <w:p w14:paraId="2C8371BB" w14:textId="6C4CA73F" w:rsidR="00644B7D" w:rsidRDefault="00644B7D" w:rsidP="00644B7D">
      <w:pPr>
        <w:pStyle w:val="OCJENSKIRADOVIOdlomak3NASTAVAKODLOMKA"/>
      </w:pPr>
      <w:r w:rsidRPr="00644B7D">
        <w:t xml:space="preserve">HPβCD ‒ hidroksipropil β-ciklodekstrin (engl. </w:t>
      </w:r>
      <w:r w:rsidRPr="00644B7D">
        <w:rPr>
          <w:i/>
          <w:iCs/>
        </w:rPr>
        <w:t>hidroxypropyl β-cyclodextrin</w:t>
      </w:r>
      <w:r w:rsidRPr="00644B7D">
        <w:t xml:space="preserve">) </w:t>
      </w:r>
    </w:p>
    <w:p w14:paraId="53B9084F" w14:textId="44A32891" w:rsidR="00465B76" w:rsidRPr="00644B7D" w:rsidRDefault="00465B76" w:rsidP="00644B7D">
      <w:pPr>
        <w:pStyle w:val="OCJENSKIRADOVIOdlomak3NASTAVAKODLOMKA"/>
      </w:pPr>
      <w:r>
        <w:t xml:space="preserve">MAS – </w:t>
      </w:r>
      <w:r w:rsidRPr="00BB33A1">
        <w:t xml:space="preserve">vrtnja pri magičnom kutu (engl. </w:t>
      </w:r>
      <w:r w:rsidRPr="00BB33A1">
        <w:rPr>
          <w:i/>
          <w:iCs/>
        </w:rPr>
        <w:t>magic angle spinning</w:t>
      </w:r>
      <w:r w:rsidRPr="00BB33A1">
        <w:t>)</w:t>
      </w:r>
    </w:p>
    <w:p w14:paraId="2F43D8B0" w14:textId="343558D8" w:rsidR="00644B7D" w:rsidRDefault="00644B7D" w:rsidP="00644B7D">
      <w:pPr>
        <w:pStyle w:val="OCJENSKIRADOVIOdlomak3NASTAVAKODLOMKA"/>
      </w:pPr>
      <w:r w:rsidRPr="00644B7D">
        <w:t xml:space="preserve">NMR spektroskopija ‒ spektroskopija nuklearne magnetne rezonancije (engl. </w:t>
      </w:r>
      <w:r w:rsidRPr="00644B7D">
        <w:rPr>
          <w:i/>
          <w:iCs/>
        </w:rPr>
        <w:t>nuclear magnetic resonance spectroscopy</w:t>
      </w:r>
      <w:r w:rsidRPr="00644B7D">
        <w:t>)</w:t>
      </w:r>
    </w:p>
    <w:p w14:paraId="7D9E27C3" w14:textId="2B2012F9" w:rsidR="00E17EA3" w:rsidRPr="00644B7D" w:rsidRDefault="00E17EA3" w:rsidP="00644B7D">
      <w:pPr>
        <w:pStyle w:val="OCJENSKIRADOVIOdlomak3NASTAVAKODLOMKA"/>
      </w:pPr>
      <w:r>
        <w:t>PZQ - prazikvantel</w:t>
      </w:r>
    </w:p>
    <w:p w14:paraId="3EEAB028" w14:textId="4C74B44A" w:rsidR="00E17EA3" w:rsidRPr="00644B7D" w:rsidRDefault="00644B7D" w:rsidP="00644B7D">
      <w:pPr>
        <w:pStyle w:val="OCJENSKIRADOVIOdlomak3NASTAVAKODLOMKA"/>
      </w:pPr>
      <w:r w:rsidRPr="00644B7D">
        <w:t xml:space="preserve">PXRD ‒ rendgenska difrakcija na polikristalnom uzorku (engl. </w:t>
      </w:r>
      <w:r w:rsidRPr="00644B7D">
        <w:rPr>
          <w:i/>
          <w:iCs/>
        </w:rPr>
        <w:t>powder x</w:t>
      </w:r>
      <w:r w:rsidRPr="00644B7D">
        <w:t>–</w:t>
      </w:r>
      <w:r w:rsidRPr="00644B7D">
        <w:rPr>
          <w:i/>
          <w:iCs/>
        </w:rPr>
        <w:t>ray diffraction</w:t>
      </w:r>
      <w:r w:rsidRPr="00644B7D">
        <w:t>)</w:t>
      </w:r>
    </w:p>
    <w:p w14:paraId="19066882" w14:textId="08849BE0" w:rsidR="00644B7D" w:rsidRDefault="00644B7D" w:rsidP="00644B7D">
      <w:pPr>
        <w:pStyle w:val="OCJENSKIRADOVIOdlomak3NASTAVAKODLOMKA"/>
      </w:pPr>
      <w:r w:rsidRPr="00644B7D">
        <w:t xml:space="preserve">RMβCD ‒ nasumično metilirani β-ciklodekstrin (engl. </w:t>
      </w:r>
      <w:r w:rsidRPr="00644B7D">
        <w:rPr>
          <w:i/>
          <w:iCs/>
        </w:rPr>
        <w:t>randomly methylated β-cyclodextrin</w:t>
      </w:r>
      <w:r w:rsidRPr="00644B7D">
        <w:t xml:space="preserve">) </w:t>
      </w:r>
    </w:p>
    <w:p w14:paraId="625C8371" w14:textId="148B2139" w:rsidR="00E17EA3" w:rsidRPr="00644B7D" w:rsidRDefault="00AD79AD" w:rsidP="00644B7D">
      <w:pPr>
        <w:pStyle w:val="OCJENSKIRADOVIOdlomak3NASTAVAKODLOMKA"/>
      </w:pPr>
      <w:r>
        <w:t xml:space="preserve">ssNMR - </w:t>
      </w:r>
      <w:r w:rsidRPr="00BB33A1">
        <w:t>spektroskopij</w:t>
      </w:r>
      <w:r>
        <w:t>a</w:t>
      </w:r>
      <w:r w:rsidRPr="00BB33A1">
        <w:t xml:space="preserve"> nuklearne magnetske rezonancije u čvrstom stanju (engl. </w:t>
      </w:r>
      <w:r w:rsidRPr="00BB33A1">
        <w:rPr>
          <w:i/>
          <w:iCs/>
        </w:rPr>
        <w:t>solid–state nuclear magnetic resonance</w:t>
      </w:r>
      <w:r w:rsidRPr="00BB33A1">
        <w:t>)</w:t>
      </w:r>
    </w:p>
    <w:p w14:paraId="53ADDAE0" w14:textId="77777777" w:rsidR="00644B7D" w:rsidRPr="00644B7D" w:rsidRDefault="00644B7D" w:rsidP="00644B7D">
      <w:pPr>
        <w:pStyle w:val="OCJENSKIRADOVIOdlomak3NASTAVAKODLOMKA"/>
      </w:pPr>
      <w:r w:rsidRPr="00644B7D">
        <w:t xml:space="preserve">SEM ‒ pretražna elektronska mikroskopija (engl. </w:t>
      </w:r>
      <w:r w:rsidRPr="00644B7D">
        <w:rPr>
          <w:i/>
          <w:iCs/>
        </w:rPr>
        <w:t>scanning electron microscopy</w:t>
      </w:r>
      <w:r w:rsidRPr="00644B7D">
        <w:t xml:space="preserve">) </w:t>
      </w:r>
    </w:p>
    <w:p w14:paraId="697AAA2C" w14:textId="683080F5" w:rsidR="00644B7D" w:rsidRDefault="006F0F57" w:rsidP="00644B7D">
      <w:pPr>
        <w:pStyle w:val="OCJENSKIRADOVIOdlomak3NASTAVAKODLOMKA"/>
        <w:rPr>
          <w:lang w:val="en-US"/>
        </w:rPr>
      </w:pPr>
      <w:r>
        <w:rPr>
          <w:lang w:val="en-US"/>
        </w:rPr>
        <w:t xml:space="preserve">TGA – termogravimetrijska analiza (engl. </w:t>
      </w:r>
      <w:r w:rsidRPr="006F0F57">
        <w:rPr>
          <w:i/>
          <w:lang w:val="en-US"/>
        </w:rPr>
        <w:t>thermoravimetric analysis</w:t>
      </w:r>
      <w:r>
        <w:rPr>
          <w:lang w:val="en-US"/>
        </w:rPr>
        <w:t>)</w:t>
      </w:r>
    </w:p>
    <w:p w14:paraId="27D028E6" w14:textId="7A566D27" w:rsidR="00B54633" w:rsidRPr="00644B7D" w:rsidRDefault="00B54633" w:rsidP="00644B7D">
      <w:pPr>
        <w:pStyle w:val="OCJENSKIRADOVIOdlomak3NASTAVAKODLOMKA"/>
        <w:rPr>
          <w:lang w:val="en-US"/>
        </w:rPr>
      </w:pPr>
      <w:r>
        <w:rPr>
          <w:lang w:val="en-US"/>
        </w:rPr>
        <w:t xml:space="preserve">TOSS - </w:t>
      </w:r>
      <w:r w:rsidRPr="00BB33A1">
        <w:t xml:space="preserve">(engl. </w:t>
      </w:r>
      <w:r w:rsidRPr="00BB33A1">
        <w:rPr>
          <w:i/>
          <w:iCs/>
        </w:rPr>
        <w:t>Total Suppression of Spinning Sidebands</w:t>
      </w:r>
      <w:r w:rsidRPr="00BB33A1">
        <w:t>)</w:t>
      </w:r>
    </w:p>
    <w:p w14:paraId="202B2E6C" w14:textId="6BF65FA7" w:rsidR="00644B7D" w:rsidRDefault="00644B7D" w:rsidP="00644B7D">
      <w:pPr>
        <w:pStyle w:val="OCJENSKIRADOVIOdlomak3NASTAVAKODLOMKA"/>
      </w:pPr>
      <w:r w:rsidRPr="00644B7D">
        <w:lastRenderedPageBreak/>
        <w:t xml:space="preserve">UV/Vis ‒ ultraljubičasto i vidljivo područje elektromagnetskog spektra (engl. </w:t>
      </w:r>
      <w:r w:rsidRPr="00644B7D">
        <w:rPr>
          <w:i/>
          <w:iCs/>
        </w:rPr>
        <w:t>ultraviolet-visible</w:t>
      </w:r>
      <w:r w:rsidRPr="00644B7D">
        <w:t>)</w:t>
      </w:r>
    </w:p>
    <w:p w14:paraId="65C0830D" w14:textId="7EC43824" w:rsidR="00B54633" w:rsidRDefault="00B54633" w:rsidP="00644B7D">
      <w:pPr>
        <w:pStyle w:val="OCJENSKIRADOVIOdlomak3NASTAVAKODLOMKA"/>
      </w:pPr>
      <w:r>
        <w:t xml:space="preserve">VCT - </w:t>
      </w:r>
      <w:r w:rsidRPr="00BB33A1">
        <w:t xml:space="preserve">eksperiment s varijabilnim vremenom kontakta (engl. </w:t>
      </w:r>
      <w:r w:rsidRPr="00BB33A1">
        <w:rPr>
          <w:i/>
          <w:iCs/>
        </w:rPr>
        <w:t>variable contact time</w:t>
      </w:r>
      <w:r w:rsidRPr="00BB33A1">
        <w:t>)</w:t>
      </w:r>
    </w:p>
    <w:p w14:paraId="48AAC61F" w14:textId="1AD6D99C" w:rsidR="00B54633" w:rsidRDefault="00B54633" w:rsidP="00644B7D">
      <w:pPr>
        <w:pStyle w:val="OCJENSKIRADOVIOdlomak3NASTAVAKODLOMKA"/>
      </w:pPr>
      <w:r>
        <w:t xml:space="preserve">WISE – </w:t>
      </w:r>
      <w:r w:rsidRPr="00BB33A1">
        <w:t xml:space="preserve">(engl. </w:t>
      </w:r>
      <w:r w:rsidRPr="00BB33A1">
        <w:rPr>
          <w:i/>
          <w:iCs/>
        </w:rPr>
        <w:t>two-dimensional WIde-line SEparation</w:t>
      </w:r>
      <w:r w:rsidRPr="00BB33A1">
        <w:t>)</w:t>
      </w:r>
    </w:p>
    <w:p w14:paraId="3F66EE18" w14:textId="5D1A2687" w:rsidR="00B54633" w:rsidRPr="00644B7D" w:rsidRDefault="00B54633" w:rsidP="00644B7D">
      <w:pPr>
        <w:pStyle w:val="OCJENSKIRADOVIOdlomak3NASTAVAKODLOMKA"/>
      </w:pPr>
      <w:r>
        <w:t xml:space="preserve">XRD – (engl. </w:t>
      </w:r>
      <w:r w:rsidRPr="00B54633">
        <w:rPr>
          <w:i/>
        </w:rPr>
        <w:t>X-ray diffraction analysis</w:t>
      </w:r>
      <w:r>
        <w:t>)</w:t>
      </w:r>
    </w:p>
    <w:p w14:paraId="37DE0247" w14:textId="2E3F3412" w:rsidR="00424536" w:rsidRPr="00BB33A1" w:rsidRDefault="00644B7D" w:rsidP="001C6639">
      <w:pPr>
        <w:pStyle w:val="OCJENSKIRADOVIOdlomak3NASTAVAKODLOMKA"/>
        <w:sectPr w:rsidR="00424536" w:rsidRPr="00BB33A1" w:rsidSect="00CF6BB4">
          <w:headerReference w:type="default" r:id="rId21"/>
          <w:pgSz w:w="11907" w:h="16840" w:code="9"/>
          <w:pgMar w:top="1701" w:right="1418" w:bottom="1701" w:left="1418" w:header="1134" w:footer="1134" w:gutter="0"/>
          <w:cols w:space="708"/>
          <w:docGrid w:linePitch="360"/>
        </w:sectPr>
      </w:pPr>
      <w:r w:rsidRPr="00644B7D">
        <w:t xml:space="preserve">XRPD ‒ rendgenska difrakcija na praškastom uzorku (engl. </w:t>
      </w:r>
      <w:r w:rsidRPr="00644B7D">
        <w:rPr>
          <w:i/>
          <w:iCs/>
        </w:rPr>
        <w:t>X-ray powder diffraction</w:t>
      </w:r>
      <w:r w:rsidRPr="00644B7D">
        <w:t xml:space="preserve">) </w:t>
      </w:r>
    </w:p>
    <w:p w14:paraId="5B0A3AB4" w14:textId="287A326F" w:rsidR="00424536" w:rsidRPr="00BB33A1" w:rsidRDefault="00424536" w:rsidP="00070565">
      <w:pPr>
        <w:pStyle w:val="OCJENSKIRADOVI1Naslovpoglavlja"/>
      </w:pPr>
      <w:bookmarkStart w:id="23" w:name="_Toc355955763"/>
      <w:bookmarkStart w:id="24" w:name="_Toc195959693"/>
      <w:r w:rsidRPr="00BB33A1">
        <w:lastRenderedPageBreak/>
        <w:t>LITERATURNI IZVORI</w:t>
      </w:r>
      <w:bookmarkEnd w:id="6"/>
      <w:bookmarkEnd w:id="23"/>
      <w:bookmarkEnd w:id="24"/>
    </w:p>
    <w:p w14:paraId="078111E6" w14:textId="35E155E8" w:rsidR="00B60DE2" w:rsidRDefault="00B60DE2" w:rsidP="00B60DE2">
      <w:pPr>
        <w:pStyle w:val="OCJENSKIRADOVIReferencija"/>
        <w:rPr>
          <w:sz w:val="24"/>
          <w:szCs w:val="24"/>
        </w:rPr>
      </w:pPr>
      <w:r w:rsidRPr="00BB33A1">
        <w:rPr>
          <w:sz w:val="24"/>
          <w:szCs w:val="24"/>
        </w:rPr>
        <w:t xml:space="preserve">A. H. Mazurek, Ł. Szeleszczuk, </w:t>
      </w:r>
      <w:r w:rsidRPr="00BB33A1">
        <w:rPr>
          <w:i/>
          <w:iCs/>
          <w:sz w:val="24"/>
          <w:szCs w:val="24"/>
        </w:rPr>
        <w:t>Int. J. Mol. Sci.</w:t>
      </w:r>
      <w:r w:rsidRPr="00BB33A1">
        <w:rPr>
          <w:sz w:val="24"/>
          <w:szCs w:val="24"/>
        </w:rPr>
        <w:t xml:space="preserve"> </w:t>
      </w:r>
      <w:r w:rsidRPr="00BB33A1">
        <w:rPr>
          <w:b/>
          <w:bCs/>
          <w:sz w:val="24"/>
          <w:szCs w:val="24"/>
        </w:rPr>
        <w:t>24</w:t>
      </w:r>
      <w:r w:rsidRPr="00BB33A1">
        <w:rPr>
          <w:sz w:val="24"/>
          <w:szCs w:val="24"/>
        </w:rPr>
        <w:t xml:space="preserve"> (2023) </w:t>
      </w:r>
      <w:r w:rsidR="00067181" w:rsidRPr="00BB33A1">
        <w:rPr>
          <w:sz w:val="24"/>
          <w:szCs w:val="24"/>
        </w:rPr>
        <w:t xml:space="preserve">3648, </w:t>
      </w:r>
      <w:r w:rsidRPr="00BB33A1">
        <w:rPr>
          <w:sz w:val="24"/>
          <w:szCs w:val="24"/>
        </w:rPr>
        <w:t>1–21.</w:t>
      </w:r>
    </w:p>
    <w:p w14:paraId="6A536176" w14:textId="01FE22D7" w:rsidR="000B3F3A" w:rsidRPr="000B3F3A" w:rsidRDefault="000B3F3A" w:rsidP="000B3F3A">
      <w:pPr>
        <w:pStyle w:val="OCJENSKIRADOVIReferencija"/>
        <w:rPr>
          <w:sz w:val="24"/>
          <w:szCs w:val="24"/>
        </w:rPr>
      </w:pPr>
      <w:r w:rsidRPr="00BB33A1">
        <w:rPr>
          <w:sz w:val="24"/>
          <w:szCs w:val="24"/>
        </w:rPr>
        <w:t xml:space="preserve">M. J. Duer, </w:t>
      </w:r>
      <w:r w:rsidRPr="00BB33A1">
        <w:rPr>
          <w:i/>
          <w:iCs/>
          <w:sz w:val="24"/>
          <w:szCs w:val="24"/>
        </w:rPr>
        <w:t>Solid-state NMR Spectroscopy: Principles and applications</w:t>
      </w:r>
      <w:r w:rsidRPr="00BB33A1">
        <w:rPr>
          <w:sz w:val="24"/>
          <w:szCs w:val="24"/>
        </w:rPr>
        <w:t>, Blackwell Science, Oxford, 2002.</w:t>
      </w:r>
    </w:p>
    <w:p w14:paraId="47A0897A" w14:textId="77777777" w:rsidR="00B60DE2" w:rsidRPr="00BB33A1" w:rsidRDefault="00B60DE2" w:rsidP="00B60DE2">
      <w:pPr>
        <w:pStyle w:val="OCJENSKIRADOVIReferencija"/>
        <w:ind w:left="426" w:hanging="426"/>
        <w:jc w:val="both"/>
        <w:rPr>
          <w:sz w:val="24"/>
          <w:szCs w:val="24"/>
        </w:rPr>
      </w:pPr>
      <w:r w:rsidRPr="00BB33A1">
        <w:rPr>
          <w:sz w:val="24"/>
          <w:szCs w:val="24"/>
        </w:rPr>
        <w:t>E.M.M. Del Valle,</w:t>
      </w:r>
      <w:r w:rsidRPr="00BB33A1">
        <w:rPr>
          <w:i/>
          <w:iCs/>
          <w:sz w:val="24"/>
          <w:szCs w:val="24"/>
        </w:rPr>
        <w:t xml:space="preserve"> Process Biochem.</w:t>
      </w:r>
      <w:r w:rsidRPr="00BB33A1">
        <w:rPr>
          <w:sz w:val="24"/>
          <w:szCs w:val="24"/>
        </w:rPr>
        <w:t xml:space="preserve"> </w:t>
      </w:r>
      <w:r w:rsidRPr="00BB33A1">
        <w:rPr>
          <w:b/>
          <w:bCs/>
          <w:sz w:val="24"/>
          <w:szCs w:val="24"/>
        </w:rPr>
        <w:t>39</w:t>
      </w:r>
      <w:r w:rsidRPr="00BB33A1">
        <w:rPr>
          <w:sz w:val="24"/>
          <w:szCs w:val="24"/>
        </w:rPr>
        <w:t xml:space="preserve"> (2004) 1033–1046.</w:t>
      </w:r>
    </w:p>
    <w:p w14:paraId="74C6FB50" w14:textId="77777777" w:rsidR="00B60DE2" w:rsidRPr="00BB33A1" w:rsidRDefault="00B60DE2" w:rsidP="00B60DE2">
      <w:pPr>
        <w:pStyle w:val="OCJENSKIRADOVIReferencija"/>
        <w:ind w:left="426" w:hanging="426"/>
        <w:jc w:val="both"/>
        <w:rPr>
          <w:sz w:val="24"/>
          <w:szCs w:val="24"/>
        </w:rPr>
      </w:pPr>
      <w:r w:rsidRPr="00BB33A1">
        <w:rPr>
          <w:sz w:val="24"/>
          <w:szCs w:val="24"/>
        </w:rPr>
        <w:t xml:space="preserve">J. Zhang, P. X. Ma, </w:t>
      </w:r>
      <w:r w:rsidRPr="00BB33A1">
        <w:rPr>
          <w:i/>
          <w:iCs/>
          <w:sz w:val="24"/>
          <w:szCs w:val="24"/>
        </w:rPr>
        <w:t>Adv. Drug Delivery Rev.</w:t>
      </w:r>
      <w:r w:rsidRPr="00BB33A1">
        <w:rPr>
          <w:sz w:val="24"/>
          <w:szCs w:val="24"/>
        </w:rPr>
        <w:t xml:space="preserve"> </w:t>
      </w:r>
      <w:r w:rsidRPr="00BB33A1">
        <w:rPr>
          <w:b/>
          <w:bCs/>
          <w:sz w:val="24"/>
          <w:szCs w:val="24"/>
        </w:rPr>
        <w:t>65</w:t>
      </w:r>
      <w:r w:rsidRPr="00BB33A1">
        <w:rPr>
          <w:sz w:val="24"/>
          <w:szCs w:val="24"/>
        </w:rPr>
        <w:t xml:space="preserve"> (9) (2013) 1215–1233.</w:t>
      </w:r>
    </w:p>
    <w:p w14:paraId="1973A4F1" w14:textId="316045F9" w:rsidR="000A3268" w:rsidRPr="00BB33A1" w:rsidRDefault="00B60DE2" w:rsidP="000A3268">
      <w:pPr>
        <w:pStyle w:val="OCJENSKIRADOVIReferencija"/>
        <w:ind w:left="426" w:hanging="426"/>
        <w:jc w:val="both"/>
        <w:rPr>
          <w:sz w:val="24"/>
          <w:szCs w:val="24"/>
        </w:rPr>
      </w:pPr>
      <w:r w:rsidRPr="00BB33A1">
        <w:rPr>
          <w:sz w:val="24"/>
          <w:szCs w:val="24"/>
        </w:rPr>
        <w:t xml:space="preserve">M. Jug, M. Bećirević-Laćan, </w:t>
      </w:r>
      <w:r w:rsidRPr="00BB33A1">
        <w:rPr>
          <w:i/>
          <w:iCs/>
          <w:sz w:val="24"/>
          <w:szCs w:val="24"/>
        </w:rPr>
        <w:t>Farm. Glas.</w:t>
      </w:r>
      <w:r w:rsidRPr="00BB33A1">
        <w:rPr>
          <w:sz w:val="24"/>
          <w:szCs w:val="24"/>
        </w:rPr>
        <w:t xml:space="preserve"> </w:t>
      </w:r>
      <w:r w:rsidRPr="00BB33A1">
        <w:rPr>
          <w:b/>
          <w:bCs/>
          <w:sz w:val="24"/>
          <w:szCs w:val="24"/>
        </w:rPr>
        <w:t>58</w:t>
      </w:r>
      <w:r w:rsidRPr="00BB33A1">
        <w:rPr>
          <w:sz w:val="24"/>
          <w:szCs w:val="24"/>
        </w:rPr>
        <w:t xml:space="preserve"> (2002) 189–204.</w:t>
      </w:r>
    </w:p>
    <w:p w14:paraId="28561239" w14:textId="54A69001" w:rsidR="00B665DA" w:rsidRPr="00BB33A1" w:rsidRDefault="00B665DA" w:rsidP="00B665DA">
      <w:pPr>
        <w:pStyle w:val="OCJENSKIRADOVIReferencija"/>
        <w:rPr>
          <w:sz w:val="24"/>
          <w:szCs w:val="24"/>
        </w:rPr>
      </w:pPr>
      <w:r w:rsidRPr="00BB33A1">
        <w:rPr>
          <w:sz w:val="24"/>
          <w:szCs w:val="24"/>
        </w:rPr>
        <w:t xml:space="preserve">T. Loftsson, M. E. Brewster, </w:t>
      </w:r>
      <w:r w:rsidRPr="00BB33A1">
        <w:rPr>
          <w:i/>
          <w:iCs/>
          <w:sz w:val="24"/>
          <w:szCs w:val="24"/>
        </w:rPr>
        <w:t xml:space="preserve">J. Pharm. Pharmacol. </w:t>
      </w:r>
      <w:r w:rsidRPr="00BB33A1">
        <w:rPr>
          <w:b/>
          <w:bCs/>
          <w:sz w:val="24"/>
          <w:szCs w:val="24"/>
        </w:rPr>
        <w:t xml:space="preserve">62 </w:t>
      </w:r>
      <w:r w:rsidRPr="00BB33A1">
        <w:rPr>
          <w:sz w:val="24"/>
          <w:szCs w:val="24"/>
        </w:rPr>
        <w:t>(2010) 1607–1621.</w:t>
      </w:r>
    </w:p>
    <w:p w14:paraId="79E6869D" w14:textId="4CE95C5A" w:rsidR="000A3268" w:rsidRPr="00BB33A1" w:rsidRDefault="000A3268" w:rsidP="000A3268">
      <w:pPr>
        <w:pStyle w:val="OCJENSKIRADOVIReferencija"/>
        <w:rPr>
          <w:sz w:val="24"/>
          <w:szCs w:val="24"/>
        </w:rPr>
      </w:pPr>
      <w:r w:rsidRPr="00BB33A1">
        <w:rPr>
          <w:sz w:val="24"/>
          <w:szCs w:val="24"/>
        </w:rPr>
        <w:t xml:space="preserve">P. Jansook, N. Ogawa, T. Loftsson, </w:t>
      </w:r>
      <w:r w:rsidRPr="00BB33A1">
        <w:rPr>
          <w:i/>
          <w:iCs/>
          <w:sz w:val="24"/>
          <w:szCs w:val="24"/>
        </w:rPr>
        <w:t xml:space="preserve">Int. J. Pharm. </w:t>
      </w:r>
      <w:r w:rsidRPr="00BB33A1">
        <w:rPr>
          <w:b/>
          <w:bCs/>
          <w:sz w:val="24"/>
          <w:szCs w:val="24"/>
        </w:rPr>
        <w:t xml:space="preserve">535 </w:t>
      </w:r>
      <w:r w:rsidRPr="00BB33A1">
        <w:rPr>
          <w:sz w:val="24"/>
          <w:szCs w:val="24"/>
        </w:rPr>
        <w:t>(2018) 272–284.</w:t>
      </w:r>
    </w:p>
    <w:p w14:paraId="5225A2C0" w14:textId="4398F7EA" w:rsidR="00B60DE2" w:rsidRPr="00BB33A1" w:rsidRDefault="005534BE" w:rsidP="00B60DE2">
      <w:pPr>
        <w:pStyle w:val="OCJENSKIRADOVIReferencija"/>
        <w:rPr>
          <w:sz w:val="24"/>
          <w:szCs w:val="24"/>
        </w:rPr>
      </w:pPr>
      <w:r w:rsidRPr="00BB33A1">
        <w:rPr>
          <w:sz w:val="24"/>
          <w:szCs w:val="24"/>
        </w:rPr>
        <w:t xml:space="preserve">N. Morin-Crini, S. Fourmentin, É. Fenyvesi, E. Lichtfouse, G. Torri, M. Fourmentin, G. Crini, 130 Years of Cyclodextrin Discovery for Health, Food, Agriculture, and the Industry: a Review, </w:t>
      </w:r>
      <w:r w:rsidRPr="00BB33A1">
        <w:rPr>
          <w:i/>
          <w:iCs/>
          <w:sz w:val="24"/>
          <w:szCs w:val="24"/>
        </w:rPr>
        <w:t xml:space="preserve">Environ. Chem. Lett. </w:t>
      </w:r>
      <w:r w:rsidRPr="00BB33A1">
        <w:rPr>
          <w:b/>
          <w:bCs/>
          <w:sz w:val="24"/>
          <w:szCs w:val="24"/>
        </w:rPr>
        <w:t xml:space="preserve">19 </w:t>
      </w:r>
      <w:r w:rsidRPr="00BB33A1">
        <w:rPr>
          <w:sz w:val="24"/>
          <w:szCs w:val="24"/>
        </w:rPr>
        <w:t>(2021) 2581–2617.</w:t>
      </w:r>
    </w:p>
    <w:p w14:paraId="2A9995D5" w14:textId="05033E45" w:rsidR="00B91757" w:rsidRPr="00BB33A1" w:rsidRDefault="00B91757" w:rsidP="00B91757">
      <w:pPr>
        <w:pStyle w:val="OCJENSKIRADOVIReferencija"/>
        <w:rPr>
          <w:sz w:val="24"/>
          <w:szCs w:val="24"/>
        </w:rPr>
      </w:pPr>
      <w:r w:rsidRPr="00BB33A1">
        <w:rPr>
          <w:sz w:val="24"/>
          <w:szCs w:val="24"/>
        </w:rPr>
        <w:t xml:space="preserve">P. Mura, </w:t>
      </w:r>
      <w:r w:rsidRPr="00BB33A1">
        <w:rPr>
          <w:i/>
          <w:iCs/>
          <w:sz w:val="24"/>
          <w:szCs w:val="24"/>
        </w:rPr>
        <w:t xml:space="preserve">J. </w:t>
      </w:r>
      <w:r w:rsidR="00A80097" w:rsidRPr="00BB33A1">
        <w:rPr>
          <w:i/>
          <w:iCs/>
          <w:sz w:val="24"/>
          <w:szCs w:val="24"/>
        </w:rPr>
        <w:t>Pharma</w:t>
      </w:r>
      <w:r w:rsidRPr="00BB33A1">
        <w:rPr>
          <w:i/>
          <w:iCs/>
          <w:sz w:val="24"/>
          <w:szCs w:val="24"/>
        </w:rPr>
        <w:t xml:space="preserve">. Biomed. Anal. </w:t>
      </w:r>
      <w:r w:rsidRPr="00BB33A1">
        <w:rPr>
          <w:b/>
          <w:bCs/>
          <w:sz w:val="24"/>
          <w:szCs w:val="24"/>
        </w:rPr>
        <w:t xml:space="preserve">101 </w:t>
      </w:r>
      <w:r w:rsidRPr="00BB33A1">
        <w:rPr>
          <w:sz w:val="24"/>
          <w:szCs w:val="24"/>
        </w:rPr>
        <w:t xml:space="preserve">(2014) 238–250. </w:t>
      </w:r>
    </w:p>
    <w:p w14:paraId="2B79C0F4" w14:textId="172D2DC6" w:rsidR="00B91757" w:rsidRPr="00BB33A1" w:rsidRDefault="00B91757" w:rsidP="00B91757">
      <w:pPr>
        <w:pStyle w:val="OCJENSKIRADOVIReferencija"/>
        <w:rPr>
          <w:sz w:val="24"/>
          <w:szCs w:val="24"/>
        </w:rPr>
      </w:pPr>
      <w:r w:rsidRPr="00BB33A1">
        <w:rPr>
          <w:sz w:val="24"/>
          <w:szCs w:val="24"/>
        </w:rPr>
        <w:t xml:space="preserve">P. Mura, </w:t>
      </w:r>
      <w:r w:rsidRPr="00BB33A1">
        <w:rPr>
          <w:i/>
          <w:iCs/>
          <w:sz w:val="24"/>
          <w:szCs w:val="24"/>
        </w:rPr>
        <w:t xml:space="preserve">J. Pharm. Biomed. Anal. </w:t>
      </w:r>
      <w:r w:rsidRPr="00BB33A1">
        <w:rPr>
          <w:b/>
          <w:bCs/>
          <w:sz w:val="24"/>
          <w:szCs w:val="24"/>
        </w:rPr>
        <w:t xml:space="preserve">113 </w:t>
      </w:r>
      <w:r w:rsidRPr="00BB33A1">
        <w:rPr>
          <w:sz w:val="24"/>
          <w:szCs w:val="24"/>
        </w:rPr>
        <w:t xml:space="preserve">(2015) 226–238. </w:t>
      </w:r>
    </w:p>
    <w:p w14:paraId="6779AA31" w14:textId="2FA32E55" w:rsidR="00DC4557" w:rsidRPr="00BB33A1" w:rsidRDefault="001D71F5" w:rsidP="00DC4557">
      <w:pPr>
        <w:pStyle w:val="OCJENSKIRADOVIReferencija"/>
        <w:rPr>
          <w:sz w:val="24"/>
          <w:szCs w:val="24"/>
        </w:rPr>
      </w:pPr>
      <w:r w:rsidRPr="00BB33A1">
        <w:rPr>
          <w:sz w:val="24"/>
          <w:szCs w:val="24"/>
        </w:rPr>
        <w:t xml:space="preserve">M. Jug, P. A. Mura, </w:t>
      </w:r>
      <w:r w:rsidRPr="00BB33A1">
        <w:rPr>
          <w:i/>
          <w:iCs/>
          <w:sz w:val="24"/>
          <w:szCs w:val="24"/>
        </w:rPr>
        <w:t xml:space="preserve">Pharmaceutics </w:t>
      </w:r>
      <w:r w:rsidRPr="00BB33A1">
        <w:rPr>
          <w:b/>
          <w:bCs/>
          <w:sz w:val="24"/>
          <w:szCs w:val="24"/>
        </w:rPr>
        <w:t xml:space="preserve">10 </w:t>
      </w:r>
      <w:r w:rsidRPr="00BB33A1">
        <w:rPr>
          <w:sz w:val="24"/>
          <w:szCs w:val="24"/>
        </w:rPr>
        <w:t>(2018) 189.</w:t>
      </w:r>
    </w:p>
    <w:p w14:paraId="29B32DEC" w14:textId="4ABA39D6" w:rsidR="00440759" w:rsidRPr="00BB33A1" w:rsidRDefault="00440759" w:rsidP="00DC4557">
      <w:pPr>
        <w:pStyle w:val="OCJENSKIRADOVIReferencija"/>
        <w:rPr>
          <w:sz w:val="24"/>
          <w:szCs w:val="24"/>
        </w:rPr>
      </w:pPr>
      <w:r w:rsidRPr="00BB33A1">
        <w:rPr>
          <w:sz w:val="24"/>
          <w:szCs w:val="24"/>
        </w:rPr>
        <w:t xml:space="preserve">M. Reif, S. E. Ashbrook, L. Emsley, M. Hong, </w:t>
      </w:r>
      <w:r w:rsidRPr="00BB33A1">
        <w:rPr>
          <w:i/>
          <w:iCs/>
          <w:sz w:val="24"/>
          <w:szCs w:val="24"/>
        </w:rPr>
        <w:t>Nat. Rev. Methods Primers</w:t>
      </w:r>
      <w:r w:rsidRPr="00BB33A1">
        <w:rPr>
          <w:sz w:val="24"/>
          <w:szCs w:val="24"/>
        </w:rPr>
        <w:t xml:space="preserve">, </w:t>
      </w:r>
      <w:r w:rsidRPr="00BB33A1">
        <w:rPr>
          <w:b/>
          <w:sz w:val="24"/>
          <w:szCs w:val="24"/>
        </w:rPr>
        <w:t>1</w:t>
      </w:r>
      <w:r w:rsidRPr="00BB33A1">
        <w:rPr>
          <w:sz w:val="24"/>
          <w:szCs w:val="24"/>
        </w:rPr>
        <w:t xml:space="preserve"> (2) (2021) 1–23.</w:t>
      </w:r>
    </w:p>
    <w:p w14:paraId="35320314" w14:textId="0C2C5226" w:rsidR="00E34A61" w:rsidRPr="00BB33A1" w:rsidRDefault="00E34A61" w:rsidP="00DC4557">
      <w:pPr>
        <w:pStyle w:val="OCJENSKIRADOVIReferencija"/>
        <w:rPr>
          <w:sz w:val="24"/>
          <w:szCs w:val="24"/>
        </w:rPr>
      </w:pPr>
      <w:r w:rsidRPr="00BB33A1">
        <w:rPr>
          <w:sz w:val="24"/>
          <w:szCs w:val="24"/>
        </w:rPr>
        <w:t xml:space="preserve">I. G. Shenderovich, H.-H. Limbach, </w:t>
      </w:r>
      <w:r w:rsidRPr="00BB33A1">
        <w:rPr>
          <w:i/>
          <w:iCs/>
          <w:sz w:val="24"/>
          <w:szCs w:val="24"/>
        </w:rPr>
        <w:t>Solids</w:t>
      </w:r>
      <w:r w:rsidRPr="00BB33A1">
        <w:rPr>
          <w:sz w:val="24"/>
          <w:szCs w:val="24"/>
        </w:rPr>
        <w:t xml:space="preserve"> </w:t>
      </w:r>
      <w:r w:rsidRPr="00BB33A1">
        <w:rPr>
          <w:b/>
          <w:bCs/>
          <w:sz w:val="24"/>
          <w:szCs w:val="24"/>
        </w:rPr>
        <w:t>2</w:t>
      </w:r>
      <w:r w:rsidRPr="00BB33A1">
        <w:rPr>
          <w:sz w:val="24"/>
          <w:szCs w:val="24"/>
        </w:rPr>
        <w:t xml:space="preserve"> (2021) 139–154.</w:t>
      </w:r>
    </w:p>
    <w:p w14:paraId="264BC950" w14:textId="2200C06B" w:rsidR="00346D2C" w:rsidRPr="00BB33A1" w:rsidRDefault="00346D2C" w:rsidP="00DC4557">
      <w:pPr>
        <w:pStyle w:val="OCJENSKIRADOVIReferencija"/>
        <w:rPr>
          <w:sz w:val="24"/>
          <w:szCs w:val="24"/>
        </w:rPr>
      </w:pPr>
      <w:r w:rsidRPr="00BB33A1">
        <w:rPr>
          <w:sz w:val="24"/>
          <w:szCs w:val="24"/>
        </w:rPr>
        <w:t>S</w:t>
      </w:r>
      <w:r w:rsidR="00224F97" w:rsidRPr="00BB33A1">
        <w:rPr>
          <w:sz w:val="24"/>
          <w:szCs w:val="24"/>
        </w:rPr>
        <w:t xml:space="preserve">. S. Braga, F. El-Saleh, K. Lysenko, F.A. Almeida Paz, Molecules </w:t>
      </w:r>
      <w:r w:rsidR="00224F97" w:rsidRPr="00BB33A1">
        <w:rPr>
          <w:b/>
          <w:bCs/>
          <w:sz w:val="24"/>
          <w:szCs w:val="24"/>
        </w:rPr>
        <w:t xml:space="preserve">26 </w:t>
      </w:r>
      <w:r w:rsidR="00224F97" w:rsidRPr="00BB33A1">
        <w:rPr>
          <w:sz w:val="24"/>
          <w:szCs w:val="24"/>
        </w:rPr>
        <w:t>(3) (2021) 1–12.</w:t>
      </w:r>
    </w:p>
    <w:p w14:paraId="560462F4" w14:textId="7578D7CD" w:rsidR="0019393C" w:rsidRPr="00BB33A1" w:rsidRDefault="0019393C" w:rsidP="00DC4557">
      <w:pPr>
        <w:pStyle w:val="OCJENSKIRADOVIReferencija"/>
        <w:rPr>
          <w:sz w:val="24"/>
          <w:szCs w:val="24"/>
        </w:rPr>
      </w:pPr>
      <w:r w:rsidRPr="00BB33A1">
        <w:rPr>
          <w:sz w:val="24"/>
          <w:szCs w:val="24"/>
        </w:rPr>
        <w:t>Y. Inoue</w:t>
      </w:r>
      <w:r w:rsidR="007342C0">
        <w:rPr>
          <w:sz w:val="24"/>
          <w:szCs w:val="24"/>
        </w:rPr>
        <w:t>, D. Iohara, N. Sekiya, M. Yamamoto, H. Ishida, Y. Sakiyama, F. Hirayama, H. Arima, K. Uekama</w:t>
      </w:r>
      <w:r w:rsidRPr="00BB33A1">
        <w:rPr>
          <w:sz w:val="24"/>
          <w:szCs w:val="24"/>
        </w:rPr>
        <w:t xml:space="preserve">, </w:t>
      </w:r>
      <w:r w:rsidRPr="00BB33A1">
        <w:rPr>
          <w:i/>
          <w:iCs/>
          <w:sz w:val="24"/>
          <w:szCs w:val="24"/>
        </w:rPr>
        <w:t>Int. J. Pharm</w:t>
      </w:r>
      <w:r w:rsidRPr="00BB33A1">
        <w:rPr>
          <w:sz w:val="24"/>
          <w:szCs w:val="24"/>
        </w:rPr>
        <w:t xml:space="preserve">. </w:t>
      </w:r>
      <w:r w:rsidRPr="00BB33A1">
        <w:rPr>
          <w:b/>
          <w:bCs/>
          <w:sz w:val="24"/>
          <w:szCs w:val="24"/>
        </w:rPr>
        <w:t>509</w:t>
      </w:r>
      <w:r w:rsidRPr="00BB33A1">
        <w:rPr>
          <w:sz w:val="24"/>
          <w:szCs w:val="24"/>
        </w:rPr>
        <w:t xml:space="preserve"> (2016) 338–347.</w:t>
      </w:r>
    </w:p>
    <w:p w14:paraId="13CF4315" w14:textId="0EA554D2" w:rsidR="00906717" w:rsidRPr="00BB33A1" w:rsidRDefault="00906717" w:rsidP="00DC4557">
      <w:pPr>
        <w:pStyle w:val="OCJENSKIRADOVIReferencija"/>
        <w:rPr>
          <w:sz w:val="24"/>
          <w:szCs w:val="24"/>
        </w:rPr>
      </w:pPr>
      <w:r w:rsidRPr="00BB33A1">
        <w:rPr>
          <w:sz w:val="24"/>
          <w:szCs w:val="24"/>
        </w:rPr>
        <w:t>Y. Hasegawa</w:t>
      </w:r>
      <w:r w:rsidR="007342C0">
        <w:rPr>
          <w:sz w:val="24"/>
          <w:szCs w:val="24"/>
        </w:rPr>
        <w:t>, Y. Inoue, K. Deguchi, S. Ohki, M. Tansho, T. Shimizu, K. Yazawa</w:t>
      </w:r>
      <w:r w:rsidRPr="00BB33A1">
        <w:rPr>
          <w:sz w:val="24"/>
          <w:szCs w:val="24"/>
        </w:rPr>
        <w:t xml:space="preserve">, </w:t>
      </w:r>
      <w:r w:rsidRPr="00BB33A1">
        <w:rPr>
          <w:i/>
          <w:iCs/>
          <w:sz w:val="24"/>
          <w:szCs w:val="24"/>
        </w:rPr>
        <w:t>J. Phys. Chem. B</w:t>
      </w:r>
      <w:r w:rsidR="006076F2" w:rsidRPr="00BB33A1">
        <w:rPr>
          <w:i/>
          <w:iCs/>
          <w:sz w:val="24"/>
          <w:szCs w:val="24"/>
        </w:rPr>
        <w:t xml:space="preserve"> </w:t>
      </w:r>
      <w:r w:rsidR="006076F2" w:rsidRPr="00BB33A1">
        <w:rPr>
          <w:b/>
          <w:bCs/>
          <w:sz w:val="24"/>
          <w:szCs w:val="24"/>
        </w:rPr>
        <w:t>116</w:t>
      </w:r>
      <w:r w:rsidR="006076F2" w:rsidRPr="00BB33A1">
        <w:rPr>
          <w:sz w:val="24"/>
          <w:szCs w:val="24"/>
        </w:rPr>
        <w:t xml:space="preserve"> (6) (2012) 1758–1764.</w:t>
      </w:r>
    </w:p>
    <w:p w14:paraId="54E6D435" w14:textId="3CA327A5" w:rsidR="00BE69E0" w:rsidRDefault="004A1961" w:rsidP="00DC4557">
      <w:pPr>
        <w:pStyle w:val="OCJENSKIRADOVIReferencija"/>
        <w:rPr>
          <w:sz w:val="24"/>
          <w:szCs w:val="24"/>
        </w:rPr>
      </w:pPr>
      <w:r>
        <w:rPr>
          <w:sz w:val="24"/>
          <w:szCs w:val="24"/>
        </w:rPr>
        <w:t xml:space="preserve">E. C. </w:t>
      </w:r>
      <w:r w:rsidRPr="00BB33A1">
        <w:rPr>
          <w:sz w:val="24"/>
          <w:szCs w:val="24"/>
        </w:rPr>
        <w:t>Arrúa</w:t>
      </w:r>
      <w:r w:rsidR="0002213D">
        <w:rPr>
          <w:sz w:val="24"/>
          <w:szCs w:val="24"/>
        </w:rPr>
        <w:t xml:space="preserve">, M. J. G. Ferreira, C. J. Salomon, T. G. Nunes, Int. J. Pharm. </w:t>
      </w:r>
      <w:r w:rsidR="0002213D" w:rsidRPr="0002213D">
        <w:rPr>
          <w:b/>
          <w:bCs/>
          <w:sz w:val="24"/>
          <w:szCs w:val="24"/>
        </w:rPr>
        <w:t>496</w:t>
      </w:r>
      <w:r w:rsidR="0002213D">
        <w:rPr>
          <w:sz w:val="24"/>
          <w:szCs w:val="24"/>
        </w:rPr>
        <w:t xml:space="preserve"> (2) (2015) 812–821.</w:t>
      </w:r>
    </w:p>
    <w:p w14:paraId="5946F0CE" w14:textId="3559A6E3" w:rsidR="00182678" w:rsidRDefault="00450C06" w:rsidP="00DC4557">
      <w:pPr>
        <w:pStyle w:val="OCJENSKIRADOVIReferencija"/>
        <w:rPr>
          <w:sz w:val="24"/>
          <w:szCs w:val="24"/>
        </w:rPr>
      </w:pPr>
      <w:r>
        <w:rPr>
          <w:sz w:val="24"/>
          <w:szCs w:val="24"/>
        </w:rPr>
        <w:t xml:space="preserve">S. G. Carvalho, D. F. Cipriano, J. C. C. de Freitas, M. A. S. Junior, E. R. Y. Ocaris, C. B. G. Teles, A. de Jesus Gouveia, R. P. Rodrigues, M. S. Zanini, J. C. O. Villanova, </w:t>
      </w:r>
      <w:r w:rsidR="007110CF" w:rsidRPr="007110CF">
        <w:rPr>
          <w:i/>
          <w:iCs/>
          <w:sz w:val="24"/>
          <w:szCs w:val="24"/>
        </w:rPr>
        <w:t>Drug. Deliv. and Transl. Res.</w:t>
      </w:r>
      <w:r w:rsidR="007110CF">
        <w:rPr>
          <w:sz w:val="24"/>
          <w:szCs w:val="24"/>
        </w:rPr>
        <w:t xml:space="preserve"> </w:t>
      </w:r>
      <w:r w:rsidR="007110CF" w:rsidRPr="007110CF">
        <w:rPr>
          <w:b/>
          <w:bCs/>
          <w:sz w:val="24"/>
          <w:szCs w:val="24"/>
        </w:rPr>
        <w:t>10</w:t>
      </w:r>
      <w:r w:rsidR="007110CF">
        <w:rPr>
          <w:sz w:val="24"/>
          <w:szCs w:val="24"/>
        </w:rPr>
        <w:t xml:space="preserve"> (2020) 1788–1809.</w:t>
      </w:r>
    </w:p>
    <w:p w14:paraId="45577EBD" w14:textId="0367E6F8" w:rsidR="00A72254" w:rsidRPr="00D03ADA" w:rsidRDefault="00D03ADA" w:rsidP="00D03ADA">
      <w:pPr>
        <w:pStyle w:val="OCJENSKIRADOVIReferencija"/>
        <w:rPr>
          <w:sz w:val="24"/>
          <w:szCs w:val="24"/>
        </w:rPr>
      </w:pPr>
      <w:r>
        <w:rPr>
          <w:sz w:val="24"/>
          <w:szCs w:val="24"/>
        </w:rPr>
        <w:t xml:space="preserve">J. Priotti, A. Garcia, D. Leonardi, M.J. Ferreira, M. C. Lamas, T. G. Nunes, </w:t>
      </w:r>
      <w:r w:rsidRPr="00D03ADA">
        <w:rPr>
          <w:i/>
          <w:iCs/>
          <w:sz w:val="24"/>
          <w:szCs w:val="24"/>
        </w:rPr>
        <w:t>Materials Science and Engineering C</w:t>
      </w:r>
      <w:r>
        <w:rPr>
          <w:sz w:val="24"/>
          <w:szCs w:val="24"/>
        </w:rPr>
        <w:t xml:space="preserve">, </w:t>
      </w:r>
      <w:r w:rsidRPr="00D03ADA">
        <w:rPr>
          <w:b/>
          <w:bCs/>
          <w:sz w:val="24"/>
          <w:szCs w:val="24"/>
        </w:rPr>
        <w:t>92</w:t>
      </w:r>
      <w:r>
        <w:rPr>
          <w:sz w:val="24"/>
          <w:szCs w:val="24"/>
        </w:rPr>
        <w:t xml:space="preserve"> (2018) 694–702.</w:t>
      </w:r>
    </w:p>
    <w:sectPr w:rsidR="00A72254" w:rsidRPr="00D03ADA" w:rsidSect="00CF6BB4">
      <w:headerReference w:type="default" r:id="rId22"/>
      <w:pgSz w:w="11907" w:h="16840" w:code="9"/>
      <w:pgMar w:top="1701" w:right="1418" w:bottom="1701" w:left="1418" w:header="1134" w:footer="1134"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B1FDA" w14:textId="77777777" w:rsidR="00E517F1" w:rsidRDefault="00E517F1">
      <w:r>
        <w:separator/>
      </w:r>
    </w:p>
    <w:p w14:paraId="1D31EA94" w14:textId="77777777" w:rsidR="00E517F1" w:rsidRDefault="00E517F1"/>
    <w:p w14:paraId="1F00F753" w14:textId="77777777" w:rsidR="00E517F1" w:rsidRDefault="00E517F1"/>
  </w:endnote>
  <w:endnote w:type="continuationSeparator" w:id="0">
    <w:p w14:paraId="08449941" w14:textId="77777777" w:rsidR="00E517F1" w:rsidRDefault="00E517F1">
      <w:r>
        <w:continuationSeparator/>
      </w:r>
    </w:p>
    <w:p w14:paraId="4AB81228" w14:textId="77777777" w:rsidR="00E517F1" w:rsidRDefault="00E517F1"/>
    <w:p w14:paraId="129D5434" w14:textId="77777777" w:rsidR="00E517F1" w:rsidRDefault="00E517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ira Code">
    <w:altName w:val="Calibri"/>
    <w:charset w:val="00"/>
    <w:family w:val="modern"/>
    <w:pitch w:val="fixed"/>
    <w:sig w:usb0="E00002EF" w:usb1="1200F8F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7391F" w14:textId="77777777" w:rsidR="00E25FD6" w:rsidRPr="00B75EF3" w:rsidRDefault="00E25FD6" w:rsidP="003F1372">
    <w:pPr>
      <w:pStyle w:val="OCJENSKIRADOVI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67D8B" w14:textId="55EF437A" w:rsidR="00E25FD6" w:rsidRPr="009D2C88" w:rsidRDefault="00E25FD6" w:rsidP="00BC1200">
    <w:pPr>
      <w:pStyle w:val="OCJENSKIRADOVIFooter"/>
      <w:pBdr>
        <w:top w:val="single" w:sz="4" w:space="1" w:color="auto"/>
      </w:pBdr>
    </w:pPr>
    <w:r>
      <w:t>Franjo Sakoman</w:t>
    </w:r>
    <w:r>
      <w:tab/>
    </w:r>
    <w:r>
      <w:rPr>
        <w:i/>
        <w:iCs/>
      </w:rPr>
      <w:t>Kemijski seminar Ⅰ</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3A2EC" w14:textId="77777777" w:rsidR="00E517F1" w:rsidRDefault="00E517F1">
      <w:r>
        <w:separator/>
      </w:r>
    </w:p>
    <w:p w14:paraId="56EE006A" w14:textId="77777777" w:rsidR="00E517F1" w:rsidRDefault="00E517F1"/>
    <w:p w14:paraId="0392C3B2" w14:textId="77777777" w:rsidR="00E517F1" w:rsidRDefault="00E517F1"/>
  </w:footnote>
  <w:footnote w:type="continuationSeparator" w:id="0">
    <w:p w14:paraId="7373AD09" w14:textId="77777777" w:rsidR="00E517F1" w:rsidRDefault="00E517F1">
      <w:r>
        <w:continuationSeparator/>
      </w:r>
    </w:p>
    <w:p w14:paraId="37C22536" w14:textId="77777777" w:rsidR="00E517F1" w:rsidRDefault="00E517F1"/>
    <w:p w14:paraId="2E1A54AC" w14:textId="77777777" w:rsidR="00E517F1" w:rsidRDefault="00E517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9E014" w14:textId="77777777" w:rsidR="00E25FD6" w:rsidRPr="00B75EF3" w:rsidRDefault="00E25FD6" w:rsidP="003F1372">
    <w:pPr>
      <w:pStyle w:val="OCJENSKIRADOVI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D93EE" w14:textId="18184465" w:rsidR="00E25FD6" w:rsidRPr="00C9165C" w:rsidRDefault="00E25FD6" w:rsidP="00BC1200">
    <w:pPr>
      <w:pStyle w:val="OCJENSKIRADOVIHeader"/>
      <w:pBdr>
        <w:bottom w:val="single" w:sz="4" w:space="1" w:color="auto"/>
      </w:pBdr>
    </w:pPr>
    <w:r>
      <w:t>§ 1</w:t>
    </w:r>
    <w:r w:rsidRPr="00C9165C">
      <w:t xml:space="preserve">. </w:t>
    </w:r>
    <w:r>
      <w:t>Uvod</w:t>
    </w:r>
    <w:r w:rsidRPr="00C9165C">
      <w:tab/>
    </w:r>
    <w:r>
      <w:fldChar w:fldCharType="begin"/>
    </w:r>
    <w:r>
      <w:instrText xml:space="preserve"> PAGE </w:instrText>
    </w:r>
    <w:r>
      <w:fldChar w:fldCharType="separate"/>
    </w:r>
    <w:r>
      <w:rPr>
        <w:noProof/>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E288D" w14:textId="2AA22F14" w:rsidR="00E25FD6" w:rsidRPr="00C9165C" w:rsidRDefault="00E25FD6" w:rsidP="00BC1200">
    <w:pPr>
      <w:pStyle w:val="OCJENSKIRADOVIHeader"/>
      <w:pBdr>
        <w:bottom w:val="single" w:sz="4" w:space="1" w:color="auto"/>
      </w:pBdr>
    </w:pPr>
    <w:r>
      <w:t>§ 2</w:t>
    </w:r>
    <w:r w:rsidRPr="00C9165C">
      <w:t xml:space="preserve">. </w:t>
    </w:r>
    <w:r>
      <w:t>Prikaz odabrane teme</w:t>
    </w:r>
    <w:r w:rsidRPr="00C9165C">
      <w:tab/>
    </w:r>
    <w:r>
      <w:fldChar w:fldCharType="begin"/>
    </w:r>
    <w:r>
      <w:instrText xml:space="preserve"> PAGE </w:instrText>
    </w:r>
    <w:r>
      <w:fldChar w:fldCharType="separate"/>
    </w:r>
    <w:r>
      <w:rPr>
        <w:noProof/>
      </w:rPr>
      <w:t>5</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8595" w14:textId="4B43406C" w:rsidR="00E25FD6" w:rsidRPr="00C9165C" w:rsidRDefault="00E25FD6" w:rsidP="00BC1200">
    <w:pPr>
      <w:pStyle w:val="OCJENSKIRADOVIHeader"/>
      <w:pBdr>
        <w:bottom w:val="single" w:sz="4" w:space="1" w:color="auto"/>
      </w:pBdr>
    </w:pPr>
    <w:r>
      <w:t>§ 3. Zaključak</w:t>
    </w:r>
    <w:r w:rsidRPr="00C9165C">
      <w:tab/>
    </w:r>
    <w:r>
      <w:fldChar w:fldCharType="begin"/>
    </w:r>
    <w:r>
      <w:instrText xml:space="preserve"> PAGE </w:instrText>
    </w:r>
    <w:r>
      <w:fldChar w:fldCharType="separate"/>
    </w:r>
    <w:r>
      <w:rPr>
        <w:noProof/>
      </w:rPr>
      <w:t>5</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F4077" w14:textId="09FEC3FE" w:rsidR="00E25FD6" w:rsidRPr="00C9165C" w:rsidRDefault="00E25FD6" w:rsidP="00BC1200">
    <w:pPr>
      <w:pStyle w:val="OCJENSKIRADOVIHeader"/>
      <w:pBdr>
        <w:bottom w:val="single" w:sz="4" w:space="1" w:color="auto"/>
      </w:pBdr>
    </w:pPr>
    <w:r>
      <w:t>§ 4</w:t>
    </w:r>
    <w:r w:rsidRPr="00C9165C">
      <w:t xml:space="preserve">. </w:t>
    </w:r>
    <w:r>
      <w:t>Popis oznaka, kratica i simbola</w:t>
    </w:r>
    <w:r w:rsidRPr="00C9165C">
      <w:tab/>
    </w:r>
    <w:r>
      <w:fldChar w:fldCharType="begin"/>
    </w:r>
    <w:r>
      <w:instrText xml:space="preserve"> PAGE </w:instrText>
    </w:r>
    <w:r>
      <w:fldChar w:fldCharType="separate"/>
    </w:r>
    <w:r>
      <w:rPr>
        <w:noProof/>
      </w:rPr>
      <w:t>6</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1DB84" w14:textId="6E4DAE96" w:rsidR="00E25FD6" w:rsidRPr="00C9165C" w:rsidRDefault="00E25FD6" w:rsidP="007530BE">
    <w:pPr>
      <w:pStyle w:val="OCJENSKIRADOVIHeader"/>
      <w:pBdr>
        <w:bottom w:val="single" w:sz="4" w:space="1" w:color="auto"/>
      </w:pBdr>
      <w:tabs>
        <w:tab w:val="clear" w:pos="9072"/>
        <w:tab w:val="right" w:pos="9071"/>
      </w:tabs>
    </w:pPr>
    <w:r>
      <w:t>§ 5</w:t>
    </w:r>
    <w:r w:rsidRPr="00C9165C">
      <w:t>.</w:t>
    </w:r>
    <w:r>
      <w:t>Literaturni izvori</w:t>
    </w:r>
    <w:r>
      <w:tab/>
      <w:t>2</w:t>
    </w:r>
    <w:r w:rsidR="00C5107A">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5800CEE"/>
    <w:lvl w:ilvl="0">
      <w:start w:val="1"/>
      <w:numFmt w:val="decimal"/>
      <w:lvlText w:val="%1."/>
      <w:lvlJc w:val="left"/>
      <w:pPr>
        <w:tabs>
          <w:tab w:val="num" w:pos="360"/>
        </w:tabs>
        <w:ind w:left="360" w:hanging="360"/>
      </w:pPr>
    </w:lvl>
  </w:abstractNum>
  <w:abstractNum w:abstractNumId="1" w15:restartNumberingAfterBreak="0">
    <w:nsid w:val="028C6B0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15:restartNumberingAfterBreak="0">
    <w:nsid w:val="02F6414D"/>
    <w:multiLevelType w:val="multilevel"/>
    <w:tmpl w:val="D460EEF6"/>
    <w:styleLink w:val="CurrentList1"/>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 w15:restartNumberingAfterBreak="0">
    <w:nsid w:val="05D917FA"/>
    <w:multiLevelType w:val="multilevel"/>
    <w:tmpl w:val="23248554"/>
    <w:lvl w:ilvl="0">
      <w:start w:val="1"/>
      <w:numFmt w:val="decimal"/>
      <w:lvlText w:val="§ %1."/>
      <w:lvlJc w:val="left"/>
      <w:pPr>
        <w:tabs>
          <w:tab w:val="num" w:pos="-360"/>
        </w:tabs>
        <w:ind w:left="-720" w:hanging="360"/>
      </w:pPr>
      <w:rPr>
        <w:rFonts w:ascii="Times New Roman" w:hAnsi="Times New Roman" w:cs="Times New Roman" w:hint="default"/>
        <w:b/>
        <w:bCs/>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Zadatak %1.%2."/>
      <w:lvlJc w:val="left"/>
      <w:pPr>
        <w:tabs>
          <w:tab w:val="num" w:pos="1021"/>
        </w:tabs>
      </w:pPr>
      <w:rPr>
        <w:rFonts w:hint="default"/>
        <w:b/>
        <w:bCs/>
        <w:i w:val="0"/>
        <w:iCs w:val="0"/>
      </w:rPr>
    </w:lvl>
    <w:lvl w:ilvl="2">
      <w:start w:val="1"/>
      <w:numFmt w:val="decimal"/>
      <w:lvlText w:val="%1.%2.%3."/>
      <w:lvlJc w:val="left"/>
      <w:pPr>
        <w:tabs>
          <w:tab w:val="num" w:pos="1800"/>
        </w:tabs>
        <w:ind w:left="144" w:hanging="504"/>
      </w:pPr>
      <w:rPr>
        <w:rFonts w:hint="default"/>
      </w:rPr>
    </w:lvl>
    <w:lvl w:ilvl="3">
      <w:start w:val="1"/>
      <w:numFmt w:val="decimal"/>
      <w:lvlRestart w:val="0"/>
      <w:lvlText w:val="%1.%2.%3.%4."/>
      <w:lvlJc w:val="left"/>
      <w:pPr>
        <w:tabs>
          <w:tab w:val="num" w:pos="2880"/>
        </w:tabs>
        <w:ind w:left="648" w:hanging="648"/>
      </w:pPr>
      <w:rPr>
        <w:rFonts w:hint="default"/>
      </w:rPr>
    </w:lvl>
    <w:lvl w:ilvl="4">
      <w:start w:val="1"/>
      <w:numFmt w:val="decimal"/>
      <w:lvlText w:val="%1.%2.%3.%4.%5."/>
      <w:lvlJc w:val="left"/>
      <w:pPr>
        <w:tabs>
          <w:tab w:val="num" w:pos="3960"/>
        </w:tabs>
        <w:ind w:left="1152" w:hanging="792"/>
      </w:pPr>
      <w:rPr>
        <w:rFonts w:hint="default"/>
      </w:rPr>
    </w:lvl>
    <w:lvl w:ilvl="5">
      <w:start w:val="1"/>
      <w:numFmt w:val="decimal"/>
      <w:lvlText w:val="%1.%2.%3.%4.%5.%6."/>
      <w:lvlJc w:val="left"/>
      <w:pPr>
        <w:tabs>
          <w:tab w:val="num" w:pos="4680"/>
        </w:tabs>
        <w:ind w:left="1656" w:hanging="936"/>
      </w:pPr>
      <w:rPr>
        <w:rFonts w:hint="default"/>
      </w:rPr>
    </w:lvl>
    <w:lvl w:ilvl="6">
      <w:start w:val="1"/>
      <w:numFmt w:val="decimal"/>
      <w:lvlText w:val="%1.%2.%3.%4.%5.%6.%7."/>
      <w:lvlJc w:val="left"/>
      <w:pPr>
        <w:tabs>
          <w:tab w:val="num" w:pos="5760"/>
        </w:tabs>
        <w:ind w:left="2160" w:hanging="1080"/>
      </w:pPr>
      <w:rPr>
        <w:rFonts w:hint="default"/>
      </w:rPr>
    </w:lvl>
    <w:lvl w:ilvl="7">
      <w:start w:val="1"/>
      <w:numFmt w:val="decimal"/>
      <w:lvlText w:val="%1.%2.%3.%4.%5.%6.%7.%8."/>
      <w:lvlJc w:val="left"/>
      <w:pPr>
        <w:tabs>
          <w:tab w:val="num" w:pos="6840"/>
        </w:tabs>
        <w:ind w:left="2664" w:hanging="1224"/>
      </w:pPr>
      <w:rPr>
        <w:rFonts w:hint="default"/>
      </w:rPr>
    </w:lvl>
    <w:lvl w:ilvl="8">
      <w:start w:val="1"/>
      <w:numFmt w:val="decimal"/>
      <w:lvlText w:val="%1.%2.%3.%4.%5.%6.%7.%8.%9."/>
      <w:lvlJc w:val="left"/>
      <w:pPr>
        <w:tabs>
          <w:tab w:val="num" w:pos="7920"/>
        </w:tabs>
        <w:ind w:left="3240" w:hanging="1440"/>
      </w:pPr>
      <w:rPr>
        <w:rFonts w:hint="default"/>
      </w:rPr>
    </w:lvl>
  </w:abstractNum>
  <w:abstractNum w:abstractNumId="4" w15:restartNumberingAfterBreak="0">
    <w:nsid w:val="08334F49"/>
    <w:multiLevelType w:val="hybridMultilevel"/>
    <w:tmpl w:val="BAB09070"/>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0A9F1B96"/>
    <w:multiLevelType w:val="multilevel"/>
    <w:tmpl w:val="6E6A718A"/>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6" w15:restartNumberingAfterBreak="0">
    <w:nsid w:val="130A2D8E"/>
    <w:multiLevelType w:val="hybridMultilevel"/>
    <w:tmpl w:val="B5C4B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B6A4E"/>
    <w:multiLevelType w:val="multilevel"/>
    <w:tmpl w:val="2DA6A1E0"/>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8" w15:restartNumberingAfterBreak="0">
    <w:nsid w:val="1D225EE7"/>
    <w:multiLevelType w:val="multilevel"/>
    <w:tmpl w:val="341A2FEE"/>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 w15:restartNumberingAfterBreak="0">
    <w:nsid w:val="251F4C17"/>
    <w:multiLevelType w:val="multilevel"/>
    <w:tmpl w:val="2DA6A1E0"/>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0" w15:restartNumberingAfterBreak="0">
    <w:nsid w:val="29456861"/>
    <w:multiLevelType w:val="multilevel"/>
    <w:tmpl w:val="E3DC2772"/>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 w15:restartNumberingAfterBreak="0">
    <w:nsid w:val="2E8720B5"/>
    <w:multiLevelType w:val="multilevel"/>
    <w:tmpl w:val="E4E8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A57E6"/>
    <w:multiLevelType w:val="hybridMultilevel"/>
    <w:tmpl w:val="0CC06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1031"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187523C"/>
    <w:multiLevelType w:val="multilevel"/>
    <w:tmpl w:val="4290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62367"/>
    <w:multiLevelType w:val="hybridMultilevel"/>
    <w:tmpl w:val="FF5E57A6"/>
    <w:lvl w:ilvl="0" w:tplc="FFFFFFFF">
      <w:start w:val="1"/>
      <w:numFmt w:val="decimal"/>
      <w:lvlText w:val="%1."/>
      <w:lvlJc w:val="left"/>
      <w:pPr>
        <w:ind w:left="720" w:hanging="360"/>
      </w:pPr>
      <w:rPr>
        <w:rFonts w:ascii="Times New Roman" w:eastAsia="Times New Roman" w:hAnsi="Times New Roman" w:cs="Times New Roman"/>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122BEE"/>
    <w:multiLevelType w:val="multilevel"/>
    <w:tmpl w:val="4B8CAF2E"/>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6" w15:restartNumberingAfterBreak="0">
    <w:nsid w:val="3D3445EB"/>
    <w:multiLevelType w:val="multilevel"/>
    <w:tmpl w:val="28A6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A31F8C"/>
    <w:multiLevelType w:val="hybridMultilevel"/>
    <w:tmpl w:val="5AFA8F12"/>
    <w:lvl w:ilvl="0" w:tplc="A7B411CE">
      <w:start w:val="1"/>
      <w:numFmt w:val="decimal"/>
      <w:pStyle w:val="CCAReference"/>
      <w:lvlText w:val="%1."/>
      <w:lvlJc w:val="right"/>
      <w:pPr>
        <w:ind w:left="53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FAF6193"/>
    <w:multiLevelType w:val="multilevel"/>
    <w:tmpl w:val="1CA433EE"/>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9" w15:restartNumberingAfterBreak="0">
    <w:nsid w:val="45340C49"/>
    <w:multiLevelType w:val="multilevel"/>
    <w:tmpl w:val="08ECC2EA"/>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0" w15:restartNumberingAfterBreak="0">
    <w:nsid w:val="46892FA1"/>
    <w:multiLevelType w:val="multilevel"/>
    <w:tmpl w:val="CB202A28"/>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1" w15:restartNumberingAfterBreak="0">
    <w:nsid w:val="4CBB6F03"/>
    <w:multiLevelType w:val="multilevel"/>
    <w:tmpl w:val="5C42BC10"/>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2" w15:restartNumberingAfterBreak="0">
    <w:nsid w:val="535772A1"/>
    <w:multiLevelType w:val="hybridMultilevel"/>
    <w:tmpl w:val="AF3AC8BE"/>
    <w:lvl w:ilvl="0" w:tplc="AE22FCF0">
      <w:start w:val="1"/>
      <w:numFmt w:val="decimal"/>
      <w:lvlText w:val="%1."/>
      <w:lvlJc w:val="left"/>
      <w:pPr>
        <w:ind w:left="720" w:hanging="360"/>
      </w:pPr>
      <w:rPr>
        <w:rFonts w:ascii="Times New Roman" w:eastAsia="Times New Roman" w:hAnsi="Times New Roman" w:cs="Times New Roman"/>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050878"/>
    <w:multiLevelType w:val="multilevel"/>
    <w:tmpl w:val="113C743E"/>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4" w15:restartNumberingAfterBreak="0">
    <w:nsid w:val="5D6246C2"/>
    <w:multiLevelType w:val="multilevel"/>
    <w:tmpl w:val="3E9AFBDE"/>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5" w15:restartNumberingAfterBreak="0">
    <w:nsid w:val="5E3D13E1"/>
    <w:multiLevelType w:val="hybridMultilevel"/>
    <w:tmpl w:val="8390D46E"/>
    <w:lvl w:ilvl="0" w:tplc="26B09228">
      <w:start w:val="1"/>
      <w:numFmt w:val="decimal"/>
      <w:pStyle w:val="OCJENSKIRADOVIReferencija"/>
      <w:lvlText w:val="%1."/>
      <w:lvlJc w:val="left"/>
      <w:pPr>
        <w:ind w:left="5606" w:hanging="360"/>
      </w:pPr>
      <w:rPr>
        <w:rFonts w:hint="default"/>
        <w:i w:val="0"/>
      </w:rPr>
    </w:lvl>
    <w:lvl w:ilvl="1" w:tplc="041A0019">
      <w:start w:val="1"/>
      <w:numFmt w:val="lowerLetter"/>
      <w:lvlText w:val="%2."/>
      <w:lvlJc w:val="left"/>
      <w:pPr>
        <w:ind w:left="6686" w:hanging="360"/>
      </w:pPr>
    </w:lvl>
    <w:lvl w:ilvl="2" w:tplc="041A001B">
      <w:start w:val="1"/>
      <w:numFmt w:val="lowerRoman"/>
      <w:lvlText w:val="%3."/>
      <w:lvlJc w:val="right"/>
      <w:pPr>
        <w:ind w:left="7406" w:hanging="180"/>
      </w:pPr>
    </w:lvl>
    <w:lvl w:ilvl="3" w:tplc="041A000F">
      <w:start w:val="1"/>
      <w:numFmt w:val="decimal"/>
      <w:lvlText w:val="%4."/>
      <w:lvlJc w:val="left"/>
      <w:pPr>
        <w:ind w:left="8126" w:hanging="360"/>
      </w:pPr>
    </w:lvl>
    <w:lvl w:ilvl="4" w:tplc="041A0019">
      <w:start w:val="1"/>
      <w:numFmt w:val="lowerLetter"/>
      <w:lvlText w:val="%5."/>
      <w:lvlJc w:val="left"/>
      <w:pPr>
        <w:ind w:left="8846" w:hanging="360"/>
      </w:pPr>
    </w:lvl>
    <w:lvl w:ilvl="5" w:tplc="041A001B">
      <w:start w:val="1"/>
      <w:numFmt w:val="lowerRoman"/>
      <w:lvlText w:val="%6."/>
      <w:lvlJc w:val="right"/>
      <w:pPr>
        <w:ind w:left="9566" w:hanging="180"/>
      </w:pPr>
    </w:lvl>
    <w:lvl w:ilvl="6" w:tplc="041A000F">
      <w:start w:val="1"/>
      <w:numFmt w:val="decimal"/>
      <w:lvlText w:val="%7."/>
      <w:lvlJc w:val="left"/>
      <w:pPr>
        <w:ind w:left="10286" w:hanging="360"/>
      </w:pPr>
    </w:lvl>
    <w:lvl w:ilvl="7" w:tplc="041A0019">
      <w:start w:val="1"/>
      <w:numFmt w:val="lowerLetter"/>
      <w:lvlText w:val="%8."/>
      <w:lvlJc w:val="left"/>
      <w:pPr>
        <w:ind w:left="11006" w:hanging="360"/>
      </w:pPr>
    </w:lvl>
    <w:lvl w:ilvl="8" w:tplc="041A001B">
      <w:start w:val="1"/>
      <w:numFmt w:val="lowerRoman"/>
      <w:lvlText w:val="%9."/>
      <w:lvlJc w:val="right"/>
      <w:pPr>
        <w:ind w:left="11726" w:hanging="180"/>
      </w:pPr>
    </w:lvl>
  </w:abstractNum>
  <w:abstractNum w:abstractNumId="26" w15:restartNumberingAfterBreak="0">
    <w:nsid w:val="63242480"/>
    <w:multiLevelType w:val="multilevel"/>
    <w:tmpl w:val="1B18C636"/>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decimal"/>
      <w:lvlRestart w:val="0"/>
      <w:lvlText w:val="%1.%2.%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7" w15:restartNumberingAfterBreak="0">
    <w:nsid w:val="63A04604"/>
    <w:multiLevelType w:val="hybridMultilevel"/>
    <w:tmpl w:val="33C466B6"/>
    <w:lvl w:ilvl="0" w:tplc="1AA0E02C">
      <w:start w:val="1"/>
      <w:numFmt w:val="decimal"/>
      <w:lvlText w:val="Zadatak %1."/>
      <w:lvlJc w:val="left"/>
      <w:pPr>
        <w:tabs>
          <w:tab w:val="num" w:pos="1080"/>
        </w:tabs>
        <w:ind w:left="1080" w:hanging="360"/>
      </w:pPr>
      <w:rPr>
        <w:rFonts w:hint="default"/>
        <w:b/>
        <w:bCs/>
        <w:i w:val="0"/>
        <w:iCs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8" w15:restartNumberingAfterBreak="0">
    <w:nsid w:val="665D3BE0"/>
    <w:multiLevelType w:val="multilevel"/>
    <w:tmpl w:val="04090023"/>
    <w:lvl w:ilvl="0">
      <w:start w:val="1"/>
      <w:numFmt w:val="upperRoman"/>
      <w:pStyle w:val="Naslov1"/>
      <w:lvlText w:val="Article %1."/>
      <w:lvlJc w:val="left"/>
      <w:pPr>
        <w:tabs>
          <w:tab w:val="num" w:pos="1800"/>
        </w:tabs>
      </w:pPr>
    </w:lvl>
    <w:lvl w:ilvl="1">
      <w:start w:val="1"/>
      <w:numFmt w:val="decimalZero"/>
      <w:pStyle w:val="Naslov2"/>
      <w:isLgl/>
      <w:lvlText w:val="Section %1.%2"/>
      <w:lvlJc w:val="left"/>
      <w:pPr>
        <w:tabs>
          <w:tab w:val="num" w:pos="1800"/>
        </w:tabs>
      </w:pPr>
    </w:lvl>
    <w:lvl w:ilvl="2">
      <w:start w:val="1"/>
      <w:numFmt w:val="lowerLetter"/>
      <w:pStyle w:val="Naslov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6A010949"/>
    <w:multiLevelType w:val="multilevel"/>
    <w:tmpl w:val="3878B3BC"/>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0" w15:restartNumberingAfterBreak="0">
    <w:nsid w:val="7080335B"/>
    <w:multiLevelType w:val="multilevel"/>
    <w:tmpl w:val="FB60507A"/>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1.1."/>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1" w15:restartNumberingAfterBreak="0">
    <w:nsid w:val="74292770"/>
    <w:multiLevelType w:val="multilevel"/>
    <w:tmpl w:val="F864AA98"/>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32" w15:restartNumberingAfterBreak="0">
    <w:nsid w:val="754652F2"/>
    <w:multiLevelType w:val="multilevel"/>
    <w:tmpl w:val="68A4CF18"/>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33" w15:restartNumberingAfterBreak="0">
    <w:nsid w:val="75731BC2"/>
    <w:multiLevelType w:val="multilevel"/>
    <w:tmpl w:val="6BDAE712"/>
    <w:lvl w:ilvl="0">
      <w:start w:val="1"/>
      <w:numFmt w:val="decimal"/>
      <w:pStyle w:val="OCJENSKIRADOVI1Naslovpoglavlja"/>
      <w:lvlText w:val="§ %1."/>
      <w:lvlJc w:val="left"/>
      <w:pPr>
        <w:tabs>
          <w:tab w:val="num" w:pos="851"/>
        </w:tabs>
        <w:ind w:left="851" w:hanging="851"/>
      </w:pPr>
      <w:rPr>
        <w:rFonts w:hint="default"/>
      </w:rPr>
    </w:lvl>
    <w:lvl w:ilvl="1">
      <w:start w:val="1"/>
      <w:numFmt w:val="decimal"/>
      <w:pStyle w:val="OCJENSKIRADOVI2Podnaslovpoglavlja"/>
      <w:lvlText w:val="%1.%2."/>
      <w:lvlJc w:val="left"/>
      <w:pPr>
        <w:tabs>
          <w:tab w:val="num" w:pos="680"/>
        </w:tabs>
        <w:ind w:left="680" w:hanging="680"/>
      </w:pPr>
      <w:rPr>
        <w:rFonts w:hint="default"/>
      </w:rPr>
    </w:lvl>
    <w:lvl w:ilvl="2">
      <w:start w:val="1"/>
      <w:numFmt w:val="decimal"/>
      <w:pStyle w:val="OCJENSKIRADOVI3Podpodnaslovpoglavlja"/>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34" w15:restartNumberingAfterBreak="0">
    <w:nsid w:val="7BCE7045"/>
    <w:multiLevelType w:val="multilevel"/>
    <w:tmpl w:val="5C42BC10"/>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35" w15:restartNumberingAfterBreak="0">
    <w:nsid w:val="7DFB669D"/>
    <w:multiLevelType w:val="hybridMultilevel"/>
    <w:tmpl w:val="5C9417A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026C21"/>
    <w:multiLevelType w:val="multilevel"/>
    <w:tmpl w:val="DEB8C8BE"/>
    <w:lvl w:ilvl="0">
      <w:start w:val="1"/>
      <w:numFmt w:val="decimal"/>
      <w:lvlText w:val="Zadatak %1."/>
      <w:lvlJc w:val="left"/>
      <w:pPr>
        <w:tabs>
          <w:tab w:val="num" w:pos="1080"/>
        </w:tabs>
        <w:ind w:left="1080" w:hanging="360"/>
      </w:pPr>
      <w:rPr>
        <w:rFonts w:hint="default"/>
        <w:b/>
        <w:bCs/>
        <w:i w:val="0"/>
        <w:i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7E81678F"/>
    <w:multiLevelType w:val="multilevel"/>
    <w:tmpl w:val="B088DD42"/>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num w:numId="1" w16cid:durableId="647784890">
    <w:abstractNumId w:val="3"/>
  </w:num>
  <w:num w:numId="2" w16cid:durableId="1643464522">
    <w:abstractNumId w:val="28"/>
  </w:num>
  <w:num w:numId="3" w16cid:durableId="1298994940">
    <w:abstractNumId w:val="1"/>
  </w:num>
  <w:num w:numId="4" w16cid:durableId="1392772242">
    <w:abstractNumId w:val="29"/>
  </w:num>
  <w:num w:numId="5" w16cid:durableId="1234848807">
    <w:abstractNumId w:val="27"/>
  </w:num>
  <w:num w:numId="6" w16cid:durableId="104077664">
    <w:abstractNumId w:val="27"/>
    <w:lvlOverride w:ilvl="0">
      <w:startOverride w:val="1"/>
    </w:lvlOverride>
  </w:num>
  <w:num w:numId="7" w16cid:durableId="613220578">
    <w:abstractNumId w:val="27"/>
    <w:lvlOverride w:ilvl="0">
      <w:startOverride w:val="1"/>
    </w:lvlOverride>
  </w:num>
  <w:num w:numId="8" w16cid:durableId="184027246">
    <w:abstractNumId w:val="27"/>
    <w:lvlOverride w:ilvl="0">
      <w:startOverride w:val="1"/>
    </w:lvlOverride>
  </w:num>
  <w:num w:numId="9" w16cid:durableId="846333815">
    <w:abstractNumId w:val="27"/>
    <w:lvlOverride w:ilvl="0">
      <w:startOverride w:val="1"/>
    </w:lvlOverride>
  </w:num>
  <w:num w:numId="10" w16cid:durableId="1786196648">
    <w:abstractNumId w:val="36"/>
  </w:num>
  <w:num w:numId="11" w16cid:durableId="1976133195">
    <w:abstractNumId w:val="27"/>
    <w:lvlOverride w:ilvl="0">
      <w:startOverride w:val="1"/>
    </w:lvlOverride>
  </w:num>
  <w:num w:numId="12" w16cid:durableId="1863200947">
    <w:abstractNumId w:val="7"/>
  </w:num>
  <w:num w:numId="13" w16cid:durableId="689137995">
    <w:abstractNumId w:val="18"/>
  </w:num>
  <w:num w:numId="14" w16cid:durableId="183043578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7519066">
    <w:abstractNumId w:val="9"/>
  </w:num>
  <w:num w:numId="16" w16cid:durableId="366377626">
    <w:abstractNumId w:val="8"/>
  </w:num>
  <w:num w:numId="17" w16cid:durableId="2020497388">
    <w:abstractNumId w:val="26"/>
  </w:num>
  <w:num w:numId="18" w16cid:durableId="1181358936">
    <w:abstractNumId w:val="19"/>
  </w:num>
  <w:num w:numId="19" w16cid:durableId="3413193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0911142">
    <w:abstractNumId w:val="30"/>
  </w:num>
  <w:num w:numId="21" w16cid:durableId="545221553">
    <w:abstractNumId w:val="20"/>
  </w:num>
  <w:num w:numId="22" w16cid:durableId="1947233664">
    <w:abstractNumId w:val="2"/>
  </w:num>
  <w:num w:numId="23" w16cid:durableId="96408429">
    <w:abstractNumId w:val="10"/>
  </w:num>
  <w:num w:numId="24" w16cid:durableId="697004506">
    <w:abstractNumId w:val="33"/>
  </w:num>
  <w:num w:numId="25" w16cid:durableId="215312271">
    <w:abstractNumId w:val="15"/>
  </w:num>
  <w:num w:numId="26" w16cid:durableId="432820406">
    <w:abstractNumId w:val="23"/>
  </w:num>
  <w:num w:numId="27" w16cid:durableId="1110471335">
    <w:abstractNumId w:val="24"/>
  </w:num>
  <w:num w:numId="28" w16cid:durableId="106628131">
    <w:abstractNumId w:val="32"/>
  </w:num>
  <w:num w:numId="29" w16cid:durableId="566107366">
    <w:abstractNumId w:val="37"/>
  </w:num>
  <w:num w:numId="30" w16cid:durableId="1921982610">
    <w:abstractNumId w:val="5"/>
  </w:num>
  <w:num w:numId="31" w16cid:durableId="456223850">
    <w:abstractNumId w:val="31"/>
  </w:num>
  <w:num w:numId="32" w16cid:durableId="1594624047">
    <w:abstractNumId w:val="25"/>
  </w:num>
  <w:num w:numId="33" w16cid:durableId="696586704">
    <w:abstractNumId w:val="17"/>
  </w:num>
  <w:num w:numId="34" w16cid:durableId="458299481">
    <w:abstractNumId w:val="21"/>
  </w:num>
  <w:num w:numId="35" w16cid:durableId="1028221709">
    <w:abstractNumId w:val="34"/>
  </w:num>
  <w:num w:numId="36" w16cid:durableId="1430001876">
    <w:abstractNumId w:val="12"/>
  </w:num>
  <w:num w:numId="37" w16cid:durableId="254561258">
    <w:abstractNumId w:val="6"/>
  </w:num>
  <w:num w:numId="38" w16cid:durableId="2096196843">
    <w:abstractNumId w:val="4"/>
  </w:num>
  <w:num w:numId="39" w16cid:durableId="847913608">
    <w:abstractNumId w:val="33"/>
    <w:lvlOverride w:ilvl="0">
      <w:lvl w:ilvl="0">
        <w:start w:val="1"/>
        <w:numFmt w:val="decimal"/>
        <w:pStyle w:val="OCJENSKIRADOVI1Naslovpoglavlja"/>
        <w:lvlText w:val="§ %1."/>
        <w:lvlJc w:val="left"/>
        <w:pPr>
          <w:tabs>
            <w:tab w:val="num" w:pos="851"/>
          </w:tabs>
          <w:ind w:left="851" w:hanging="851"/>
        </w:pPr>
        <w:rPr>
          <w:rFonts w:hint="default"/>
        </w:rPr>
      </w:lvl>
    </w:lvlOverride>
    <w:lvlOverride w:ilvl="1">
      <w:lvl w:ilvl="1">
        <w:start w:val="1"/>
        <w:numFmt w:val="decimal"/>
        <w:pStyle w:val="OCJENSKIRADOVI2Podnaslovpoglavlja"/>
        <w:lvlText w:val="%1.%2."/>
        <w:lvlJc w:val="left"/>
        <w:pPr>
          <w:tabs>
            <w:tab w:val="num" w:pos="680"/>
          </w:tabs>
          <w:ind w:left="680" w:hanging="680"/>
        </w:pPr>
        <w:rPr>
          <w:rFonts w:hint="default"/>
        </w:rPr>
      </w:lvl>
    </w:lvlOverride>
    <w:lvlOverride w:ilvl="2">
      <w:lvl w:ilvl="2">
        <w:start w:val="1"/>
        <w:numFmt w:val="decimal"/>
        <w:pStyle w:val="OCJENSKIRADOVI3Podpodnaslovpoglavlja"/>
        <w:lvlText w:val="%1.%2.%3."/>
        <w:lvlJc w:val="left"/>
        <w:pPr>
          <w:tabs>
            <w:tab w:val="num" w:pos="680"/>
          </w:tabs>
          <w:ind w:left="680" w:hanging="680"/>
        </w:pPr>
        <w:rPr>
          <w:rFonts w:hint="default"/>
        </w:rPr>
      </w:lvl>
    </w:lvlOverride>
    <w:lvlOverride w:ilvl="3">
      <w:lvl w:ilvl="3">
        <w:start w:val="1"/>
        <w:numFmt w:val="decimal"/>
        <w:lvlText w:val="%1.%2.%3.%4."/>
        <w:lvlJc w:val="left"/>
        <w:pPr>
          <w:tabs>
            <w:tab w:val="num" w:pos="3960"/>
          </w:tabs>
          <w:ind w:left="1728" w:hanging="648"/>
        </w:pPr>
        <w:rPr>
          <w:rFonts w:hint="default"/>
        </w:rPr>
      </w:lvl>
    </w:lvlOverride>
    <w:lvlOverride w:ilvl="4">
      <w:lvl w:ilvl="4">
        <w:start w:val="1"/>
        <w:numFmt w:val="decimal"/>
        <w:lvlText w:val="%1.%2.%3.%4.%5."/>
        <w:lvlJc w:val="left"/>
        <w:pPr>
          <w:tabs>
            <w:tab w:val="num" w:pos="5040"/>
          </w:tabs>
          <w:ind w:left="2232" w:hanging="792"/>
        </w:pPr>
        <w:rPr>
          <w:rFonts w:hint="default"/>
        </w:rPr>
      </w:lvl>
    </w:lvlOverride>
    <w:lvlOverride w:ilvl="5">
      <w:lvl w:ilvl="5">
        <w:start w:val="1"/>
        <w:numFmt w:val="decimal"/>
        <w:lvlText w:val="%1.%2.%3.%4.%5.%6."/>
        <w:lvlJc w:val="left"/>
        <w:pPr>
          <w:tabs>
            <w:tab w:val="num" w:pos="5760"/>
          </w:tabs>
          <w:ind w:left="2736" w:hanging="936"/>
        </w:pPr>
        <w:rPr>
          <w:rFonts w:hint="default"/>
        </w:rPr>
      </w:lvl>
    </w:lvlOverride>
    <w:lvlOverride w:ilvl="6">
      <w:lvl w:ilvl="6">
        <w:start w:val="1"/>
        <w:numFmt w:val="decimal"/>
        <w:lvlText w:val="%1.%2.%3.%4.%5.%6.%7."/>
        <w:lvlJc w:val="left"/>
        <w:pPr>
          <w:tabs>
            <w:tab w:val="num" w:pos="6840"/>
          </w:tabs>
          <w:ind w:left="3240" w:hanging="1080"/>
        </w:pPr>
        <w:rPr>
          <w:rFonts w:hint="default"/>
        </w:rPr>
      </w:lvl>
    </w:lvlOverride>
    <w:lvlOverride w:ilvl="7">
      <w:lvl w:ilvl="7">
        <w:start w:val="1"/>
        <w:numFmt w:val="decimal"/>
        <w:lvlText w:val="%1.%2.%3.%4.%5.%6.%7.%8."/>
        <w:lvlJc w:val="left"/>
        <w:pPr>
          <w:tabs>
            <w:tab w:val="num" w:pos="7920"/>
          </w:tabs>
          <w:ind w:left="3744" w:hanging="1224"/>
        </w:pPr>
        <w:rPr>
          <w:rFonts w:hint="default"/>
        </w:rPr>
      </w:lvl>
    </w:lvlOverride>
    <w:lvlOverride w:ilvl="8">
      <w:lvl w:ilvl="8">
        <w:start w:val="1"/>
        <w:numFmt w:val="decimal"/>
        <w:lvlText w:val="%1.%2.%3.%4.%5.%6.%7.%8.%9."/>
        <w:lvlJc w:val="left"/>
        <w:pPr>
          <w:tabs>
            <w:tab w:val="num" w:pos="9000"/>
          </w:tabs>
          <w:ind w:left="4320" w:hanging="1440"/>
        </w:pPr>
        <w:rPr>
          <w:rFonts w:hint="default"/>
        </w:rPr>
      </w:lvl>
    </w:lvlOverride>
  </w:num>
  <w:num w:numId="40" w16cid:durableId="525291834">
    <w:abstractNumId w:val="33"/>
    <w:lvlOverride w:ilvl="0">
      <w:lvl w:ilvl="0">
        <w:start w:val="1"/>
        <w:numFmt w:val="decimal"/>
        <w:pStyle w:val="OCJENSKIRADOVI1Naslovpoglavlja"/>
        <w:lvlText w:val="§ %1."/>
        <w:lvlJc w:val="left"/>
        <w:pPr>
          <w:tabs>
            <w:tab w:val="num" w:pos="851"/>
          </w:tabs>
          <w:ind w:left="851" w:hanging="851"/>
        </w:pPr>
        <w:rPr>
          <w:rFonts w:hint="default"/>
        </w:rPr>
      </w:lvl>
    </w:lvlOverride>
    <w:lvlOverride w:ilvl="1">
      <w:lvl w:ilvl="1">
        <w:start w:val="1"/>
        <w:numFmt w:val="decimal"/>
        <w:pStyle w:val="OCJENSKIRADOVI2Podnaslovpoglavlja"/>
        <w:lvlText w:val="%1.%2."/>
        <w:lvlJc w:val="left"/>
        <w:pPr>
          <w:tabs>
            <w:tab w:val="num" w:pos="680"/>
          </w:tabs>
          <w:ind w:left="680" w:hanging="680"/>
        </w:pPr>
        <w:rPr>
          <w:rFonts w:hint="default"/>
        </w:rPr>
      </w:lvl>
    </w:lvlOverride>
    <w:lvlOverride w:ilvl="2">
      <w:lvl w:ilvl="2">
        <w:start w:val="1"/>
        <w:numFmt w:val="decimal"/>
        <w:pStyle w:val="OCJENSKIRADOVI3Podpodnaslovpoglavlja"/>
        <w:lvlText w:val="%1.%2.%3."/>
        <w:lvlJc w:val="left"/>
        <w:pPr>
          <w:tabs>
            <w:tab w:val="num" w:pos="680"/>
          </w:tabs>
          <w:ind w:left="680" w:hanging="680"/>
        </w:pPr>
        <w:rPr>
          <w:rFonts w:hint="default"/>
        </w:rPr>
      </w:lvl>
    </w:lvlOverride>
    <w:lvlOverride w:ilvl="3">
      <w:lvl w:ilvl="3">
        <w:start w:val="1"/>
        <w:numFmt w:val="decimal"/>
        <w:lvlText w:val="%1.%2.%3.%4."/>
        <w:lvlJc w:val="left"/>
        <w:pPr>
          <w:tabs>
            <w:tab w:val="num" w:pos="3960"/>
          </w:tabs>
          <w:ind w:left="1728" w:hanging="648"/>
        </w:pPr>
        <w:rPr>
          <w:rFonts w:hint="default"/>
        </w:rPr>
      </w:lvl>
    </w:lvlOverride>
    <w:lvlOverride w:ilvl="4">
      <w:lvl w:ilvl="4">
        <w:start w:val="1"/>
        <w:numFmt w:val="decimal"/>
        <w:lvlText w:val="%1.%2.%3.%4.%5."/>
        <w:lvlJc w:val="left"/>
        <w:pPr>
          <w:tabs>
            <w:tab w:val="num" w:pos="5040"/>
          </w:tabs>
          <w:ind w:left="2232" w:hanging="792"/>
        </w:pPr>
        <w:rPr>
          <w:rFonts w:hint="default"/>
        </w:rPr>
      </w:lvl>
    </w:lvlOverride>
    <w:lvlOverride w:ilvl="5">
      <w:lvl w:ilvl="5">
        <w:start w:val="1"/>
        <w:numFmt w:val="decimal"/>
        <w:lvlText w:val="%1.%2.%3.%4.%5.%6."/>
        <w:lvlJc w:val="left"/>
        <w:pPr>
          <w:tabs>
            <w:tab w:val="num" w:pos="5760"/>
          </w:tabs>
          <w:ind w:left="2736" w:hanging="936"/>
        </w:pPr>
        <w:rPr>
          <w:rFonts w:hint="default"/>
        </w:rPr>
      </w:lvl>
    </w:lvlOverride>
    <w:lvlOverride w:ilvl="6">
      <w:lvl w:ilvl="6">
        <w:start w:val="1"/>
        <w:numFmt w:val="decimal"/>
        <w:lvlText w:val="%1.%2.%3.%4.%5.%6.%7."/>
        <w:lvlJc w:val="left"/>
        <w:pPr>
          <w:tabs>
            <w:tab w:val="num" w:pos="6840"/>
          </w:tabs>
          <w:ind w:left="3240" w:hanging="1080"/>
        </w:pPr>
        <w:rPr>
          <w:rFonts w:hint="default"/>
        </w:rPr>
      </w:lvl>
    </w:lvlOverride>
    <w:lvlOverride w:ilvl="7">
      <w:lvl w:ilvl="7">
        <w:start w:val="1"/>
        <w:numFmt w:val="decimal"/>
        <w:lvlText w:val="%1.%2.%3.%4.%5.%6.%7.%8."/>
        <w:lvlJc w:val="left"/>
        <w:pPr>
          <w:tabs>
            <w:tab w:val="num" w:pos="7920"/>
          </w:tabs>
          <w:ind w:left="3744" w:hanging="1224"/>
        </w:pPr>
        <w:rPr>
          <w:rFonts w:hint="default"/>
        </w:rPr>
      </w:lvl>
    </w:lvlOverride>
    <w:lvlOverride w:ilvl="8">
      <w:lvl w:ilvl="8">
        <w:start w:val="1"/>
        <w:numFmt w:val="decimal"/>
        <w:lvlText w:val="%1.%2.%3.%4.%5.%6.%7.%8.%9."/>
        <w:lvlJc w:val="left"/>
        <w:pPr>
          <w:tabs>
            <w:tab w:val="num" w:pos="9000"/>
          </w:tabs>
          <w:ind w:left="4320" w:hanging="1440"/>
        </w:pPr>
        <w:rPr>
          <w:rFonts w:hint="default"/>
        </w:rPr>
      </w:lvl>
    </w:lvlOverride>
  </w:num>
  <w:num w:numId="41" w16cid:durableId="1072047875">
    <w:abstractNumId w:val="0"/>
  </w:num>
  <w:num w:numId="42" w16cid:durableId="1481387948">
    <w:abstractNumId w:val="22"/>
  </w:num>
  <w:num w:numId="43" w16cid:durableId="996958878">
    <w:abstractNumId w:val="14"/>
  </w:num>
  <w:num w:numId="44" w16cid:durableId="1371146459">
    <w:abstractNumId w:val="35"/>
  </w:num>
  <w:num w:numId="45" w16cid:durableId="2073918803">
    <w:abstractNumId w:val="11"/>
  </w:num>
  <w:num w:numId="46" w16cid:durableId="854264894">
    <w:abstractNumId w:val="13"/>
  </w:num>
  <w:num w:numId="47" w16cid:durableId="12125770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lignBordersAndEdges/>
  <w:bordersDoNotSurroundHeader/>
  <w:bordersDoNotSurroundFooter/>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00B2"/>
    <w:rsid w:val="0000068D"/>
    <w:rsid w:val="00001140"/>
    <w:rsid w:val="000016E6"/>
    <w:rsid w:val="00001826"/>
    <w:rsid w:val="00001F5C"/>
    <w:rsid w:val="000028F9"/>
    <w:rsid w:val="00003D1D"/>
    <w:rsid w:val="00004E72"/>
    <w:rsid w:val="000057C5"/>
    <w:rsid w:val="000059D3"/>
    <w:rsid w:val="000079A1"/>
    <w:rsid w:val="0001039A"/>
    <w:rsid w:val="00010567"/>
    <w:rsid w:val="00010671"/>
    <w:rsid w:val="00011584"/>
    <w:rsid w:val="00012199"/>
    <w:rsid w:val="00012FE2"/>
    <w:rsid w:val="000138E0"/>
    <w:rsid w:val="00013A34"/>
    <w:rsid w:val="00013B9F"/>
    <w:rsid w:val="00014AE2"/>
    <w:rsid w:val="00015087"/>
    <w:rsid w:val="000153BE"/>
    <w:rsid w:val="0001579E"/>
    <w:rsid w:val="000158C1"/>
    <w:rsid w:val="00016A79"/>
    <w:rsid w:val="00017088"/>
    <w:rsid w:val="00020583"/>
    <w:rsid w:val="0002113C"/>
    <w:rsid w:val="0002213D"/>
    <w:rsid w:val="0002228E"/>
    <w:rsid w:val="00022582"/>
    <w:rsid w:val="000225BA"/>
    <w:rsid w:val="00022B84"/>
    <w:rsid w:val="000230CE"/>
    <w:rsid w:val="00023BBF"/>
    <w:rsid w:val="000240F1"/>
    <w:rsid w:val="000243A3"/>
    <w:rsid w:val="00024A1D"/>
    <w:rsid w:val="00024E6A"/>
    <w:rsid w:val="00025453"/>
    <w:rsid w:val="000260CF"/>
    <w:rsid w:val="00026D5D"/>
    <w:rsid w:val="000314D7"/>
    <w:rsid w:val="00031620"/>
    <w:rsid w:val="00031719"/>
    <w:rsid w:val="00031A70"/>
    <w:rsid w:val="00031AD5"/>
    <w:rsid w:val="00031C8D"/>
    <w:rsid w:val="00031FC0"/>
    <w:rsid w:val="00032475"/>
    <w:rsid w:val="00032F49"/>
    <w:rsid w:val="00034478"/>
    <w:rsid w:val="00034A31"/>
    <w:rsid w:val="0003575E"/>
    <w:rsid w:val="00035BD5"/>
    <w:rsid w:val="00035C11"/>
    <w:rsid w:val="00035C47"/>
    <w:rsid w:val="00036247"/>
    <w:rsid w:val="00037376"/>
    <w:rsid w:val="00037433"/>
    <w:rsid w:val="0004045E"/>
    <w:rsid w:val="000405ED"/>
    <w:rsid w:val="00040971"/>
    <w:rsid w:val="00041202"/>
    <w:rsid w:val="00041270"/>
    <w:rsid w:val="000413DC"/>
    <w:rsid w:val="00041691"/>
    <w:rsid w:val="00042803"/>
    <w:rsid w:val="00042B8E"/>
    <w:rsid w:val="0004316F"/>
    <w:rsid w:val="00043222"/>
    <w:rsid w:val="00044509"/>
    <w:rsid w:val="000446A0"/>
    <w:rsid w:val="00044C34"/>
    <w:rsid w:val="0004585E"/>
    <w:rsid w:val="00045B9A"/>
    <w:rsid w:val="00045F5D"/>
    <w:rsid w:val="00047D43"/>
    <w:rsid w:val="00047E55"/>
    <w:rsid w:val="000503D7"/>
    <w:rsid w:val="000505FA"/>
    <w:rsid w:val="000506C4"/>
    <w:rsid w:val="00050899"/>
    <w:rsid w:val="00050C16"/>
    <w:rsid w:val="00050DA7"/>
    <w:rsid w:val="0005104F"/>
    <w:rsid w:val="00051728"/>
    <w:rsid w:val="00052387"/>
    <w:rsid w:val="000523C5"/>
    <w:rsid w:val="00052D47"/>
    <w:rsid w:val="00053121"/>
    <w:rsid w:val="000531FE"/>
    <w:rsid w:val="00053E62"/>
    <w:rsid w:val="00055BFD"/>
    <w:rsid w:val="00055DB1"/>
    <w:rsid w:val="00056560"/>
    <w:rsid w:val="00057022"/>
    <w:rsid w:val="00057A95"/>
    <w:rsid w:val="00060295"/>
    <w:rsid w:val="000603C6"/>
    <w:rsid w:val="0006073F"/>
    <w:rsid w:val="00060EB5"/>
    <w:rsid w:val="0006120B"/>
    <w:rsid w:val="00061ABF"/>
    <w:rsid w:val="000622C1"/>
    <w:rsid w:val="000640E7"/>
    <w:rsid w:val="00064C2C"/>
    <w:rsid w:val="000659AE"/>
    <w:rsid w:val="0006616B"/>
    <w:rsid w:val="000663D7"/>
    <w:rsid w:val="00067181"/>
    <w:rsid w:val="00067AD0"/>
    <w:rsid w:val="00070565"/>
    <w:rsid w:val="0007081E"/>
    <w:rsid w:val="000714D0"/>
    <w:rsid w:val="00071649"/>
    <w:rsid w:val="000717E8"/>
    <w:rsid w:val="00073AB1"/>
    <w:rsid w:val="0007434D"/>
    <w:rsid w:val="00074541"/>
    <w:rsid w:val="00075792"/>
    <w:rsid w:val="0007631B"/>
    <w:rsid w:val="0007635F"/>
    <w:rsid w:val="0007670F"/>
    <w:rsid w:val="000771D9"/>
    <w:rsid w:val="00077A85"/>
    <w:rsid w:val="0008046E"/>
    <w:rsid w:val="00080A13"/>
    <w:rsid w:val="00081241"/>
    <w:rsid w:val="00081B81"/>
    <w:rsid w:val="0008226D"/>
    <w:rsid w:val="00082E76"/>
    <w:rsid w:val="00083526"/>
    <w:rsid w:val="000836D4"/>
    <w:rsid w:val="0008490E"/>
    <w:rsid w:val="00085013"/>
    <w:rsid w:val="00085C7C"/>
    <w:rsid w:val="000867FB"/>
    <w:rsid w:val="00086B1D"/>
    <w:rsid w:val="00086B70"/>
    <w:rsid w:val="0008725E"/>
    <w:rsid w:val="000907B8"/>
    <w:rsid w:val="00091973"/>
    <w:rsid w:val="00092D07"/>
    <w:rsid w:val="0009307D"/>
    <w:rsid w:val="0009394D"/>
    <w:rsid w:val="00094480"/>
    <w:rsid w:val="00094C0C"/>
    <w:rsid w:val="00094FF4"/>
    <w:rsid w:val="00095E32"/>
    <w:rsid w:val="000967AD"/>
    <w:rsid w:val="00097712"/>
    <w:rsid w:val="000A025F"/>
    <w:rsid w:val="000A051B"/>
    <w:rsid w:val="000A05F7"/>
    <w:rsid w:val="000A09AC"/>
    <w:rsid w:val="000A0FDD"/>
    <w:rsid w:val="000A1112"/>
    <w:rsid w:val="000A1620"/>
    <w:rsid w:val="000A3268"/>
    <w:rsid w:val="000A366F"/>
    <w:rsid w:val="000A4108"/>
    <w:rsid w:val="000A4B37"/>
    <w:rsid w:val="000A54A8"/>
    <w:rsid w:val="000A67A3"/>
    <w:rsid w:val="000A6DA3"/>
    <w:rsid w:val="000A6E8A"/>
    <w:rsid w:val="000A7D1D"/>
    <w:rsid w:val="000B01C8"/>
    <w:rsid w:val="000B094A"/>
    <w:rsid w:val="000B0A6D"/>
    <w:rsid w:val="000B0D4B"/>
    <w:rsid w:val="000B17BC"/>
    <w:rsid w:val="000B1871"/>
    <w:rsid w:val="000B3A7A"/>
    <w:rsid w:val="000B3A7B"/>
    <w:rsid w:val="000B3F3A"/>
    <w:rsid w:val="000B4AD0"/>
    <w:rsid w:val="000B5AFD"/>
    <w:rsid w:val="000B5D0E"/>
    <w:rsid w:val="000B69A4"/>
    <w:rsid w:val="000B7874"/>
    <w:rsid w:val="000B7C9B"/>
    <w:rsid w:val="000C0323"/>
    <w:rsid w:val="000C06FF"/>
    <w:rsid w:val="000C16C6"/>
    <w:rsid w:val="000C170D"/>
    <w:rsid w:val="000C175A"/>
    <w:rsid w:val="000C25DE"/>
    <w:rsid w:val="000C2755"/>
    <w:rsid w:val="000C4444"/>
    <w:rsid w:val="000C5EBD"/>
    <w:rsid w:val="000C5F5D"/>
    <w:rsid w:val="000C6937"/>
    <w:rsid w:val="000C6CED"/>
    <w:rsid w:val="000C6F86"/>
    <w:rsid w:val="000C7199"/>
    <w:rsid w:val="000C7817"/>
    <w:rsid w:val="000D0709"/>
    <w:rsid w:val="000D1039"/>
    <w:rsid w:val="000D2B6E"/>
    <w:rsid w:val="000D45A0"/>
    <w:rsid w:val="000D5437"/>
    <w:rsid w:val="000D5F0E"/>
    <w:rsid w:val="000D5F9C"/>
    <w:rsid w:val="000D6A67"/>
    <w:rsid w:val="000D6B6A"/>
    <w:rsid w:val="000D6F61"/>
    <w:rsid w:val="000D76A4"/>
    <w:rsid w:val="000D7911"/>
    <w:rsid w:val="000E00CC"/>
    <w:rsid w:val="000E08FA"/>
    <w:rsid w:val="000E16C2"/>
    <w:rsid w:val="000E2527"/>
    <w:rsid w:val="000E2BEF"/>
    <w:rsid w:val="000E2E8D"/>
    <w:rsid w:val="000E3C21"/>
    <w:rsid w:val="000E49D1"/>
    <w:rsid w:val="000E62DC"/>
    <w:rsid w:val="000E6C58"/>
    <w:rsid w:val="000E7F3E"/>
    <w:rsid w:val="000F08C6"/>
    <w:rsid w:val="000F17BA"/>
    <w:rsid w:val="000F2538"/>
    <w:rsid w:val="000F258E"/>
    <w:rsid w:val="000F2FDA"/>
    <w:rsid w:val="000F49D8"/>
    <w:rsid w:val="000F52EA"/>
    <w:rsid w:val="000F7126"/>
    <w:rsid w:val="001005A5"/>
    <w:rsid w:val="00100621"/>
    <w:rsid w:val="0010066C"/>
    <w:rsid w:val="0010070A"/>
    <w:rsid w:val="00102E3B"/>
    <w:rsid w:val="001036E1"/>
    <w:rsid w:val="0010465C"/>
    <w:rsid w:val="00105581"/>
    <w:rsid w:val="00105694"/>
    <w:rsid w:val="0010637F"/>
    <w:rsid w:val="0010673F"/>
    <w:rsid w:val="0010712A"/>
    <w:rsid w:val="0010722B"/>
    <w:rsid w:val="00107997"/>
    <w:rsid w:val="00107E00"/>
    <w:rsid w:val="0011034D"/>
    <w:rsid w:val="00110513"/>
    <w:rsid w:val="00111A50"/>
    <w:rsid w:val="00111C8F"/>
    <w:rsid w:val="00113190"/>
    <w:rsid w:val="00113F33"/>
    <w:rsid w:val="00114144"/>
    <w:rsid w:val="00115257"/>
    <w:rsid w:val="00115F45"/>
    <w:rsid w:val="001160F8"/>
    <w:rsid w:val="00116FEE"/>
    <w:rsid w:val="00117700"/>
    <w:rsid w:val="0011771B"/>
    <w:rsid w:val="001179AC"/>
    <w:rsid w:val="0012010B"/>
    <w:rsid w:val="001201C1"/>
    <w:rsid w:val="001202C3"/>
    <w:rsid w:val="00120AB1"/>
    <w:rsid w:val="001234B7"/>
    <w:rsid w:val="00123856"/>
    <w:rsid w:val="00124243"/>
    <w:rsid w:val="0012610B"/>
    <w:rsid w:val="00126266"/>
    <w:rsid w:val="00126A62"/>
    <w:rsid w:val="00127888"/>
    <w:rsid w:val="00127DD2"/>
    <w:rsid w:val="00130BD8"/>
    <w:rsid w:val="00131854"/>
    <w:rsid w:val="001338B5"/>
    <w:rsid w:val="0013396E"/>
    <w:rsid w:val="0013440F"/>
    <w:rsid w:val="001345FE"/>
    <w:rsid w:val="0013496E"/>
    <w:rsid w:val="00134D3F"/>
    <w:rsid w:val="00135431"/>
    <w:rsid w:val="0013559B"/>
    <w:rsid w:val="00135809"/>
    <w:rsid w:val="00135AE6"/>
    <w:rsid w:val="00140390"/>
    <w:rsid w:val="001408BD"/>
    <w:rsid w:val="00140F3A"/>
    <w:rsid w:val="00141991"/>
    <w:rsid w:val="00141DC9"/>
    <w:rsid w:val="00142971"/>
    <w:rsid w:val="001429A6"/>
    <w:rsid w:val="00143B40"/>
    <w:rsid w:val="00144E29"/>
    <w:rsid w:val="001475B3"/>
    <w:rsid w:val="00147800"/>
    <w:rsid w:val="0014784A"/>
    <w:rsid w:val="00150D60"/>
    <w:rsid w:val="00151040"/>
    <w:rsid w:val="00152113"/>
    <w:rsid w:val="001524F8"/>
    <w:rsid w:val="001530D9"/>
    <w:rsid w:val="0015363B"/>
    <w:rsid w:val="001558DB"/>
    <w:rsid w:val="00155C90"/>
    <w:rsid w:val="0015657C"/>
    <w:rsid w:val="001565B6"/>
    <w:rsid w:val="00156D92"/>
    <w:rsid w:val="00156FEF"/>
    <w:rsid w:val="00157654"/>
    <w:rsid w:val="00157A7F"/>
    <w:rsid w:val="00161AC9"/>
    <w:rsid w:val="001628A7"/>
    <w:rsid w:val="00162C45"/>
    <w:rsid w:val="00162D50"/>
    <w:rsid w:val="00163F1C"/>
    <w:rsid w:val="00163F41"/>
    <w:rsid w:val="001648B5"/>
    <w:rsid w:val="00164A55"/>
    <w:rsid w:val="00164D2E"/>
    <w:rsid w:val="001654DA"/>
    <w:rsid w:val="00165AAB"/>
    <w:rsid w:val="00165DD2"/>
    <w:rsid w:val="0016622C"/>
    <w:rsid w:val="00166DAE"/>
    <w:rsid w:val="00166DDA"/>
    <w:rsid w:val="00167C97"/>
    <w:rsid w:val="00167FEB"/>
    <w:rsid w:val="001705C8"/>
    <w:rsid w:val="0017066D"/>
    <w:rsid w:val="0017067D"/>
    <w:rsid w:val="001706B4"/>
    <w:rsid w:val="00170889"/>
    <w:rsid w:val="00170B2C"/>
    <w:rsid w:val="00171381"/>
    <w:rsid w:val="00171A55"/>
    <w:rsid w:val="00171E1F"/>
    <w:rsid w:val="00172000"/>
    <w:rsid w:val="0017207E"/>
    <w:rsid w:val="001725EC"/>
    <w:rsid w:val="00172BD1"/>
    <w:rsid w:val="00173E58"/>
    <w:rsid w:val="0017406D"/>
    <w:rsid w:val="00174D55"/>
    <w:rsid w:val="001750AD"/>
    <w:rsid w:val="00175633"/>
    <w:rsid w:val="00175D98"/>
    <w:rsid w:val="001767DA"/>
    <w:rsid w:val="00176E64"/>
    <w:rsid w:val="00177094"/>
    <w:rsid w:val="001771F9"/>
    <w:rsid w:val="00180148"/>
    <w:rsid w:val="0018084D"/>
    <w:rsid w:val="001809F1"/>
    <w:rsid w:val="00182678"/>
    <w:rsid w:val="00182724"/>
    <w:rsid w:val="00182924"/>
    <w:rsid w:val="00183415"/>
    <w:rsid w:val="0018408A"/>
    <w:rsid w:val="001847C4"/>
    <w:rsid w:val="00186036"/>
    <w:rsid w:val="001862E6"/>
    <w:rsid w:val="00186945"/>
    <w:rsid w:val="00190BBD"/>
    <w:rsid w:val="0019126B"/>
    <w:rsid w:val="0019170B"/>
    <w:rsid w:val="0019393C"/>
    <w:rsid w:val="00193C88"/>
    <w:rsid w:val="0019488F"/>
    <w:rsid w:val="00194A5B"/>
    <w:rsid w:val="00194A9E"/>
    <w:rsid w:val="00195AED"/>
    <w:rsid w:val="00196973"/>
    <w:rsid w:val="0019787D"/>
    <w:rsid w:val="001A0ED1"/>
    <w:rsid w:val="001A1163"/>
    <w:rsid w:val="001A1261"/>
    <w:rsid w:val="001A1703"/>
    <w:rsid w:val="001A1A93"/>
    <w:rsid w:val="001A2C6B"/>
    <w:rsid w:val="001A2EF8"/>
    <w:rsid w:val="001A3B66"/>
    <w:rsid w:val="001A6751"/>
    <w:rsid w:val="001A6C88"/>
    <w:rsid w:val="001A7480"/>
    <w:rsid w:val="001A7952"/>
    <w:rsid w:val="001B0A8D"/>
    <w:rsid w:val="001B1961"/>
    <w:rsid w:val="001B26CD"/>
    <w:rsid w:val="001B2FD6"/>
    <w:rsid w:val="001B364B"/>
    <w:rsid w:val="001B3CB5"/>
    <w:rsid w:val="001B45D9"/>
    <w:rsid w:val="001B47F4"/>
    <w:rsid w:val="001B4907"/>
    <w:rsid w:val="001B4FA6"/>
    <w:rsid w:val="001B562C"/>
    <w:rsid w:val="001B582C"/>
    <w:rsid w:val="001B5EFC"/>
    <w:rsid w:val="001B6A9E"/>
    <w:rsid w:val="001B6C2C"/>
    <w:rsid w:val="001B6E1D"/>
    <w:rsid w:val="001B74C7"/>
    <w:rsid w:val="001B7C8A"/>
    <w:rsid w:val="001C0A90"/>
    <w:rsid w:val="001C0C0B"/>
    <w:rsid w:val="001C11DC"/>
    <w:rsid w:val="001C1954"/>
    <w:rsid w:val="001C2086"/>
    <w:rsid w:val="001C29A5"/>
    <w:rsid w:val="001C2EA2"/>
    <w:rsid w:val="001C31BB"/>
    <w:rsid w:val="001C49F3"/>
    <w:rsid w:val="001C54AB"/>
    <w:rsid w:val="001C5C89"/>
    <w:rsid w:val="001C6639"/>
    <w:rsid w:val="001C66FA"/>
    <w:rsid w:val="001C6CE0"/>
    <w:rsid w:val="001D0654"/>
    <w:rsid w:val="001D1D0D"/>
    <w:rsid w:val="001D209B"/>
    <w:rsid w:val="001D2D60"/>
    <w:rsid w:val="001D2FA9"/>
    <w:rsid w:val="001D3CBA"/>
    <w:rsid w:val="001D3FF3"/>
    <w:rsid w:val="001D4FC7"/>
    <w:rsid w:val="001D71F5"/>
    <w:rsid w:val="001D74CF"/>
    <w:rsid w:val="001E012C"/>
    <w:rsid w:val="001E102B"/>
    <w:rsid w:val="001E10F9"/>
    <w:rsid w:val="001E3443"/>
    <w:rsid w:val="001E3F19"/>
    <w:rsid w:val="001E3FD6"/>
    <w:rsid w:val="001E477B"/>
    <w:rsid w:val="001E5414"/>
    <w:rsid w:val="001E550E"/>
    <w:rsid w:val="001E5843"/>
    <w:rsid w:val="001E5FA3"/>
    <w:rsid w:val="001E6339"/>
    <w:rsid w:val="001E6C59"/>
    <w:rsid w:val="001E70F5"/>
    <w:rsid w:val="001E79DE"/>
    <w:rsid w:val="001E7C2D"/>
    <w:rsid w:val="001F01CE"/>
    <w:rsid w:val="001F0796"/>
    <w:rsid w:val="001F0BE9"/>
    <w:rsid w:val="001F0D1F"/>
    <w:rsid w:val="001F0EBE"/>
    <w:rsid w:val="001F1DE2"/>
    <w:rsid w:val="001F4680"/>
    <w:rsid w:val="001F49E8"/>
    <w:rsid w:val="001F6995"/>
    <w:rsid w:val="001F6B89"/>
    <w:rsid w:val="001F6B9C"/>
    <w:rsid w:val="001F728C"/>
    <w:rsid w:val="001F77D7"/>
    <w:rsid w:val="001F7854"/>
    <w:rsid w:val="0020025F"/>
    <w:rsid w:val="002002D9"/>
    <w:rsid w:val="00200CD9"/>
    <w:rsid w:val="0020256F"/>
    <w:rsid w:val="00202633"/>
    <w:rsid w:val="00204399"/>
    <w:rsid w:val="002052F3"/>
    <w:rsid w:val="00206DAC"/>
    <w:rsid w:val="00210410"/>
    <w:rsid w:val="00210DAF"/>
    <w:rsid w:val="00210E52"/>
    <w:rsid w:val="002123EA"/>
    <w:rsid w:val="00213B47"/>
    <w:rsid w:val="00213B52"/>
    <w:rsid w:val="00215CC0"/>
    <w:rsid w:val="00217B5D"/>
    <w:rsid w:val="00220590"/>
    <w:rsid w:val="0022071A"/>
    <w:rsid w:val="00220AF1"/>
    <w:rsid w:val="00220B6B"/>
    <w:rsid w:val="00221041"/>
    <w:rsid w:val="0022260E"/>
    <w:rsid w:val="00222D15"/>
    <w:rsid w:val="00223B46"/>
    <w:rsid w:val="002246CF"/>
    <w:rsid w:val="00224F97"/>
    <w:rsid w:val="0022632F"/>
    <w:rsid w:val="00227101"/>
    <w:rsid w:val="00227A63"/>
    <w:rsid w:val="00230433"/>
    <w:rsid w:val="002309A9"/>
    <w:rsid w:val="00230C04"/>
    <w:rsid w:val="00230C63"/>
    <w:rsid w:val="00230CA5"/>
    <w:rsid w:val="00230CAC"/>
    <w:rsid w:val="00230E78"/>
    <w:rsid w:val="002310AA"/>
    <w:rsid w:val="002317DA"/>
    <w:rsid w:val="00233689"/>
    <w:rsid w:val="00233E08"/>
    <w:rsid w:val="00233EBB"/>
    <w:rsid w:val="00233F8C"/>
    <w:rsid w:val="002342EB"/>
    <w:rsid w:val="0023583E"/>
    <w:rsid w:val="002365BE"/>
    <w:rsid w:val="00237026"/>
    <w:rsid w:val="0023757B"/>
    <w:rsid w:val="00237B48"/>
    <w:rsid w:val="002405CB"/>
    <w:rsid w:val="00240919"/>
    <w:rsid w:val="002419EB"/>
    <w:rsid w:val="0024360B"/>
    <w:rsid w:val="00243A40"/>
    <w:rsid w:val="00243E86"/>
    <w:rsid w:val="002443E5"/>
    <w:rsid w:val="00244657"/>
    <w:rsid w:val="00244FE6"/>
    <w:rsid w:val="00244FFC"/>
    <w:rsid w:val="0024540E"/>
    <w:rsid w:val="00245936"/>
    <w:rsid w:val="00245B76"/>
    <w:rsid w:val="00245CF4"/>
    <w:rsid w:val="002468C8"/>
    <w:rsid w:val="00246969"/>
    <w:rsid w:val="0024731A"/>
    <w:rsid w:val="00250B6C"/>
    <w:rsid w:val="00251193"/>
    <w:rsid w:val="00251AA4"/>
    <w:rsid w:val="00252A4D"/>
    <w:rsid w:val="0025364E"/>
    <w:rsid w:val="00254C14"/>
    <w:rsid w:val="00256CE8"/>
    <w:rsid w:val="00257053"/>
    <w:rsid w:val="0025732A"/>
    <w:rsid w:val="0026004A"/>
    <w:rsid w:val="0026140E"/>
    <w:rsid w:val="00261A15"/>
    <w:rsid w:val="002629DC"/>
    <w:rsid w:val="00262ADC"/>
    <w:rsid w:val="00262CA3"/>
    <w:rsid w:val="00262FBC"/>
    <w:rsid w:val="00263AA0"/>
    <w:rsid w:val="00263C84"/>
    <w:rsid w:val="00265509"/>
    <w:rsid w:val="00265879"/>
    <w:rsid w:val="00266C83"/>
    <w:rsid w:val="00266DFB"/>
    <w:rsid w:val="00267DAB"/>
    <w:rsid w:val="002702E0"/>
    <w:rsid w:val="00270DB0"/>
    <w:rsid w:val="002724A4"/>
    <w:rsid w:val="00272648"/>
    <w:rsid w:val="00272758"/>
    <w:rsid w:val="002734F5"/>
    <w:rsid w:val="002736DB"/>
    <w:rsid w:val="0027468E"/>
    <w:rsid w:val="00274D02"/>
    <w:rsid w:val="0027505B"/>
    <w:rsid w:val="00275BE4"/>
    <w:rsid w:val="00277154"/>
    <w:rsid w:val="00280234"/>
    <w:rsid w:val="0028109B"/>
    <w:rsid w:val="00281922"/>
    <w:rsid w:val="00281DA7"/>
    <w:rsid w:val="00282270"/>
    <w:rsid w:val="00282CDC"/>
    <w:rsid w:val="0028328E"/>
    <w:rsid w:val="002835B1"/>
    <w:rsid w:val="002836B0"/>
    <w:rsid w:val="00283EE4"/>
    <w:rsid w:val="00284053"/>
    <w:rsid w:val="0028457F"/>
    <w:rsid w:val="00285BB8"/>
    <w:rsid w:val="00285CEB"/>
    <w:rsid w:val="00285E8C"/>
    <w:rsid w:val="00290097"/>
    <w:rsid w:val="00290F86"/>
    <w:rsid w:val="00291CF5"/>
    <w:rsid w:val="0029298F"/>
    <w:rsid w:val="00292E95"/>
    <w:rsid w:val="00292EC9"/>
    <w:rsid w:val="00293909"/>
    <w:rsid w:val="00294BFB"/>
    <w:rsid w:val="00294C0F"/>
    <w:rsid w:val="00294CE7"/>
    <w:rsid w:val="0029513C"/>
    <w:rsid w:val="0029523B"/>
    <w:rsid w:val="002966F4"/>
    <w:rsid w:val="00296937"/>
    <w:rsid w:val="0029723E"/>
    <w:rsid w:val="00297F67"/>
    <w:rsid w:val="002A06F1"/>
    <w:rsid w:val="002A0CDE"/>
    <w:rsid w:val="002A2319"/>
    <w:rsid w:val="002A3232"/>
    <w:rsid w:val="002A3F9A"/>
    <w:rsid w:val="002A599B"/>
    <w:rsid w:val="002A5B33"/>
    <w:rsid w:val="002A72B3"/>
    <w:rsid w:val="002A7713"/>
    <w:rsid w:val="002A7B7C"/>
    <w:rsid w:val="002B0325"/>
    <w:rsid w:val="002B0565"/>
    <w:rsid w:val="002B18A3"/>
    <w:rsid w:val="002B1CD8"/>
    <w:rsid w:val="002B1D49"/>
    <w:rsid w:val="002B2205"/>
    <w:rsid w:val="002B2879"/>
    <w:rsid w:val="002B3289"/>
    <w:rsid w:val="002B3A56"/>
    <w:rsid w:val="002B477B"/>
    <w:rsid w:val="002B5265"/>
    <w:rsid w:val="002B5405"/>
    <w:rsid w:val="002B5C5F"/>
    <w:rsid w:val="002B67F1"/>
    <w:rsid w:val="002B6B88"/>
    <w:rsid w:val="002C0B3E"/>
    <w:rsid w:val="002C16A6"/>
    <w:rsid w:val="002C21A5"/>
    <w:rsid w:val="002C29A5"/>
    <w:rsid w:val="002C2E37"/>
    <w:rsid w:val="002C3A24"/>
    <w:rsid w:val="002C49FB"/>
    <w:rsid w:val="002C52D8"/>
    <w:rsid w:val="002C53A6"/>
    <w:rsid w:val="002C6F53"/>
    <w:rsid w:val="002C7560"/>
    <w:rsid w:val="002D102E"/>
    <w:rsid w:val="002D1B7F"/>
    <w:rsid w:val="002D2287"/>
    <w:rsid w:val="002D333E"/>
    <w:rsid w:val="002D3405"/>
    <w:rsid w:val="002D3416"/>
    <w:rsid w:val="002D3B2F"/>
    <w:rsid w:val="002D421D"/>
    <w:rsid w:val="002D466E"/>
    <w:rsid w:val="002D4795"/>
    <w:rsid w:val="002D4B73"/>
    <w:rsid w:val="002D511E"/>
    <w:rsid w:val="002D52D0"/>
    <w:rsid w:val="002D53B9"/>
    <w:rsid w:val="002D5CA4"/>
    <w:rsid w:val="002D5CDB"/>
    <w:rsid w:val="002D673D"/>
    <w:rsid w:val="002D70D0"/>
    <w:rsid w:val="002D7735"/>
    <w:rsid w:val="002D796B"/>
    <w:rsid w:val="002E086F"/>
    <w:rsid w:val="002E0D31"/>
    <w:rsid w:val="002E0F18"/>
    <w:rsid w:val="002E1453"/>
    <w:rsid w:val="002E14FA"/>
    <w:rsid w:val="002E1729"/>
    <w:rsid w:val="002E3509"/>
    <w:rsid w:val="002E4A5F"/>
    <w:rsid w:val="002E4E80"/>
    <w:rsid w:val="002E51C8"/>
    <w:rsid w:val="002E540C"/>
    <w:rsid w:val="002E56C8"/>
    <w:rsid w:val="002E7011"/>
    <w:rsid w:val="002F02BB"/>
    <w:rsid w:val="002F1753"/>
    <w:rsid w:val="002F1F26"/>
    <w:rsid w:val="002F20AC"/>
    <w:rsid w:val="002F213F"/>
    <w:rsid w:val="002F277D"/>
    <w:rsid w:val="002F319B"/>
    <w:rsid w:val="002F36CC"/>
    <w:rsid w:val="002F39B6"/>
    <w:rsid w:val="002F412A"/>
    <w:rsid w:val="002F529D"/>
    <w:rsid w:val="002F5D26"/>
    <w:rsid w:val="002F6FC5"/>
    <w:rsid w:val="00301C67"/>
    <w:rsid w:val="003028B5"/>
    <w:rsid w:val="003039D2"/>
    <w:rsid w:val="00303BE6"/>
    <w:rsid w:val="003040DE"/>
    <w:rsid w:val="003050E4"/>
    <w:rsid w:val="003056BA"/>
    <w:rsid w:val="00305FAB"/>
    <w:rsid w:val="00306187"/>
    <w:rsid w:val="00306AB8"/>
    <w:rsid w:val="0030780B"/>
    <w:rsid w:val="003109CB"/>
    <w:rsid w:val="00310E84"/>
    <w:rsid w:val="00311F91"/>
    <w:rsid w:val="00312E2A"/>
    <w:rsid w:val="003130AD"/>
    <w:rsid w:val="003132F0"/>
    <w:rsid w:val="003135A3"/>
    <w:rsid w:val="00313A9F"/>
    <w:rsid w:val="00316B03"/>
    <w:rsid w:val="00321C89"/>
    <w:rsid w:val="00321E2B"/>
    <w:rsid w:val="003220DC"/>
    <w:rsid w:val="00322EB4"/>
    <w:rsid w:val="003237BB"/>
    <w:rsid w:val="00323FD6"/>
    <w:rsid w:val="003246D1"/>
    <w:rsid w:val="00324A1D"/>
    <w:rsid w:val="00325755"/>
    <w:rsid w:val="00327474"/>
    <w:rsid w:val="00327848"/>
    <w:rsid w:val="00327BEB"/>
    <w:rsid w:val="003306E6"/>
    <w:rsid w:val="00331170"/>
    <w:rsid w:val="003315F3"/>
    <w:rsid w:val="00331BE4"/>
    <w:rsid w:val="003324BC"/>
    <w:rsid w:val="00332C4E"/>
    <w:rsid w:val="00333090"/>
    <w:rsid w:val="00333744"/>
    <w:rsid w:val="003339A6"/>
    <w:rsid w:val="00334578"/>
    <w:rsid w:val="0033497A"/>
    <w:rsid w:val="00334CAD"/>
    <w:rsid w:val="00334E6C"/>
    <w:rsid w:val="00335144"/>
    <w:rsid w:val="003358E8"/>
    <w:rsid w:val="003361A3"/>
    <w:rsid w:val="00336A1A"/>
    <w:rsid w:val="0033734C"/>
    <w:rsid w:val="00340201"/>
    <w:rsid w:val="0034052B"/>
    <w:rsid w:val="003406BF"/>
    <w:rsid w:val="00340A0E"/>
    <w:rsid w:val="00341013"/>
    <w:rsid w:val="003412E8"/>
    <w:rsid w:val="0034286F"/>
    <w:rsid w:val="00342F9A"/>
    <w:rsid w:val="00343FF1"/>
    <w:rsid w:val="0034486A"/>
    <w:rsid w:val="00344E30"/>
    <w:rsid w:val="003454F3"/>
    <w:rsid w:val="00346792"/>
    <w:rsid w:val="003468E7"/>
    <w:rsid w:val="00346D2C"/>
    <w:rsid w:val="0034757E"/>
    <w:rsid w:val="00347B25"/>
    <w:rsid w:val="003502E9"/>
    <w:rsid w:val="0035145E"/>
    <w:rsid w:val="00352742"/>
    <w:rsid w:val="0035275D"/>
    <w:rsid w:val="003528DF"/>
    <w:rsid w:val="00353F28"/>
    <w:rsid w:val="003548AC"/>
    <w:rsid w:val="00354F25"/>
    <w:rsid w:val="0036047E"/>
    <w:rsid w:val="00360F0B"/>
    <w:rsid w:val="003617EE"/>
    <w:rsid w:val="00361BCA"/>
    <w:rsid w:val="00362446"/>
    <w:rsid w:val="003627A0"/>
    <w:rsid w:val="003629D0"/>
    <w:rsid w:val="00362A82"/>
    <w:rsid w:val="00363A9F"/>
    <w:rsid w:val="00365066"/>
    <w:rsid w:val="00365EFB"/>
    <w:rsid w:val="00366031"/>
    <w:rsid w:val="0036718B"/>
    <w:rsid w:val="00367B30"/>
    <w:rsid w:val="003712B7"/>
    <w:rsid w:val="00371424"/>
    <w:rsid w:val="0037148F"/>
    <w:rsid w:val="00371E63"/>
    <w:rsid w:val="00372501"/>
    <w:rsid w:val="003735C7"/>
    <w:rsid w:val="003741D6"/>
    <w:rsid w:val="003742EB"/>
    <w:rsid w:val="00374C53"/>
    <w:rsid w:val="00374DBD"/>
    <w:rsid w:val="0037538B"/>
    <w:rsid w:val="003769A0"/>
    <w:rsid w:val="00377546"/>
    <w:rsid w:val="003776F0"/>
    <w:rsid w:val="00377A7C"/>
    <w:rsid w:val="00380ABF"/>
    <w:rsid w:val="00381DA5"/>
    <w:rsid w:val="003830D8"/>
    <w:rsid w:val="0038355E"/>
    <w:rsid w:val="00383D9B"/>
    <w:rsid w:val="00385733"/>
    <w:rsid w:val="00386523"/>
    <w:rsid w:val="00386657"/>
    <w:rsid w:val="00387E4C"/>
    <w:rsid w:val="00391110"/>
    <w:rsid w:val="003918EE"/>
    <w:rsid w:val="00391AA9"/>
    <w:rsid w:val="00391AF0"/>
    <w:rsid w:val="00391F4B"/>
    <w:rsid w:val="00392EF2"/>
    <w:rsid w:val="003932FA"/>
    <w:rsid w:val="00393D2F"/>
    <w:rsid w:val="00395D83"/>
    <w:rsid w:val="00395F4B"/>
    <w:rsid w:val="00396AB6"/>
    <w:rsid w:val="00397D66"/>
    <w:rsid w:val="003A1EF3"/>
    <w:rsid w:val="003A23FD"/>
    <w:rsid w:val="003A2B96"/>
    <w:rsid w:val="003A6703"/>
    <w:rsid w:val="003A67FA"/>
    <w:rsid w:val="003A6841"/>
    <w:rsid w:val="003A68D9"/>
    <w:rsid w:val="003A76D4"/>
    <w:rsid w:val="003A7960"/>
    <w:rsid w:val="003A7B87"/>
    <w:rsid w:val="003B0167"/>
    <w:rsid w:val="003B06FD"/>
    <w:rsid w:val="003B077E"/>
    <w:rsid w:val="003B0BA9"/>
    <w:rsid w:val="003B1646"/>
    <w:rsid w:val="003B344D"/>
    <w:rsid w:val="003B4368"/>
    <w:rsid w:val="003B4B3E"/>
    <w:rsid w:val="003B4CF1"/>
    <w:rsid w:val="003B5007"/>
    <w:rsid w:val="003B53A6"/>
    <w:rsid w:val="003B5651"/>
    <w:rsid w:val="003B56DD"/>
    <w:rsid w:val="003B6079"/>
    <w:rsid w:val="003B617D"/>
    <w:rsid w:val="003B6499"/>
    <w:rsid w:val="003B71DF"/>
    <w:rsid w:val="003B742B"/>
    <w:rsid w:val="003B7870"/>
    <w:rsid w:val="003C13A3"/>
    <w:rsid w:val="003C1585"/>
    <w:rsid w:val="003C1A42"/>
    <w:rsid w:val="003C1C93"/>
    <w:rsid w:val="003C27E3"/>
    <w:rsid w:val="003C2BF4"/>
    <w:rsid w:val="003C3414"/>
    <w:rsid w:val="003C4A44"/>
    <w:rsid w:val="003C575E"/>
    <w:rsid w:val="003C611C"/>
    <w:rsid w:val="003C6ABE"/>
    <w:rsid w:val="003C75E8"/>
    <w:rsid w:val="003D1C90"/>
    <w:rsid w:val="003D23C1"/>
    <w:rsid w:val="003D2EA2"/>
    <w:rsid w:val="003D4AF6"/>
    <w:rsid w:val="003D4CF1"/>
    <w:rsid w:val="003D5726"/>
    <w:rsid w:val="003D59D2"/>
    <w:rsid w:val="003D667E"/>
    <w:rsid w:val="003D6F32"/>
    <w:rsid w:val="003E0660"/>
    <w:rsid w:val="003E1B31"/>
    <w:rsid w:val="003E21EB"/>
    <w:rsid w:val="003E35CE"/>
    <w:rsid w:val="003E3CC1"/>
    <w:rsid w:val="003E6A5D"/>
    <w:rsid w:val="003E7B0C"/>
    <w:rsid w:val="003F0B8E"/>
    <w:rsid w:val="003F12BE"/>
    <w:rsid w:val="003F1372"/>
    <w:rsid w:val="003F1476"/>
    <w:rsid w:val="003F1594"/>
    <w:rsid w:val="003F1AC5"/>
    <w:rsid w:val="003F20FF"/>
    <w:rsid w:val="003F4285"/>
    <w:rsid w:val="003F4325"/>
    <w:rsid w:val="003F4C78"/>
    <w:rsid w:val="003F4D05"/>
    <w:rsid w:val="003F5155"/>
    <w:rsid w:val="003F51DD"/>
    <w:rsid w:val="003F5F28"/>
    <w:rsid w:val="003F7CE7"/>
    <w:rsid w:val="00400172"/>
    <w:rsid w:val="00400537"/>
    <w:rsid w:val="00400676"/>
    <w:rsid w:val="00400E84"/>
    <w:rsid w:val="00401223"/>
    <w:rsid w:val="004013BA"/>
    <w:rsid w:val="004013CA"/>
    <w:rsid w:val="00401739"/>
    <w:rsid w:val="0040257C"/>
    <w:rsid w:val="00403B02"/>
    <w:rsid w:val="004050C5"/>
    <w:rsid w:val="00405C3C"/>
    <w:rsid w:val="0040757C"/>
    <w:rsid w:val="00407A94"/>
    <w:rsid w:val="00407B4C"/>
    <w:rsid w:val="00411335"/>
    <w:rsid w:val="004122E7"/>
    <w:rsid w:val="00412ED3"/>
    <w:rsid w:val="0041355F"/>
    <w:rsid w:val="00414FFB"/>
    <w:rsid w:val="0041696C"/>
    <w:rsid w:val="00416C11"/>
    <w:rsid w:val="00417A1A"/>
    <w:rsid w:val="00421DB1"/>
    <w:rsid w:val="00422186"/>
    <w:rsid w:val="00422C66"/>
    <w:rsid w:val="0042311A"/>
    <w:rsid w:val="00423433"/>
    <w:rsid w:val="0042369E"/>
    <w:rsid w:val="00423D5C"/>
    <w:rsid w:val="00424536"/>
    <w:rsid w:val="0042476F"/>
    <w:rsid w:val="00425C51"/>
    <w:rsid w:val="00425E0D"/>
    <w:rsid w:val="00426084"/>
    <w:rsid w:val="0042622D"/>
    <w:rsid w:val="00426634"/>
    <w:rsid w:val="00426BD1"/>
    <w:rsid w:val="00427CB6"/>
    <w:rsid w:val="00427D2C"/>
    <w:rsid w:val="00427F3A"/>
    <w:rsid w:val="004306BD"/>
    <w:rsid w:val="00430CF0"/>
    <w:rsid w:val="0043171D"/>
    <w:rsid w:val="00431E60"/>
    <w:rsid w:val="00432434"/>
    <w:rsid w:val="0043584E"/>
    <w:rsid w:val="00435B9E"/>
    <w:rsid w:val="0043606F"/>
    <w:rsid w:val="00436660"/>
    <w:rsid w:val="00437A21"/>
    <w:rsid w:val="00440759"/>
    <w:rsid w:val="0044164F"/>
    <w:rsid w:val="00441D10"/>
    <w:rsid w:val="0044240A"/>
    <w:rsid w:val="00444DE4"/>
    <w:rsid w:val="00444EDB"/>
    <w:rsid w:val="0044719B"/>
    <w:rsid w:val="00447416"/>
    <w:rsid w:val="0044787E"/>
    <w:rsid w:val="004479FF"/>
    <w:rsid w:val="00447E42"/>
    <w:rsid w:val="00450C06"/>
    <w:rsid w:val="00451109"/>
    <w:rsid w:val="004517EF"/>
    <w:rsid w:val="004520DD"/>
    <w:rsid w:val="0045239D"/>
    <w:rsid w:val="0045316F"/>
    <w:rsid w:val="004531BD"/>
    <w:rsid w:val="004536B0"/>
    <w:rsid w:val="00454B0C"/>
    <w:rsid w:val="004558CB"/>
    <w:rsid w:val="00455976"/>
    <w:rsid w:val="00455EBB"/>
    <w:rsid w:val="00456380"/>
    <w:rsid w:val="00457339"/>
    <w:rsid w:val="00457668"/>
    <w:rsid w:val="004576E4"/>
    <w:rsid w:val="004601C6"/>
    <w:rsid w:val="00460A39"/>
    <w:rsid w:val="0046112D"/>
    <w:rsid w:val="00461225"/>
    <w:rsid w:val="00461367"/>
    <w:rsid w:val="00461527"/>
    <w:rsid w:val="004623FD"/>
    <w:rsid w:val="00462C99"/>
    <w:rsid w:val="00462F27"/>
    <w:rsid w:val="00463F3A"/>
    <w:rsid w:val="004640E8"/>
    <w:rsid w:val="00464500"/>
    <w:rsid w:val="004646D1"/>
    <w:rsid w:val="004648CD"/>
    <w:rsid w:val="004649A3"/>
    <w:rsid w:val="00465B76"/>
    <w:rsid w:val="00466784"/>
    <w:rsid w:val="00466C5F"/>
    <w:rsid w:val="00467A56"/>
    <w:rsid w:val="004709B0"/>
    <w:rsid w:val="00471EAF"/>
    <w:rsid w:val="00471F4E"/>
    <w:rsid w:val="0047217A"/>
    <w:rsid w:val="00472685"/>
    <w:rsid w:val="00472828"/>
    <w:rsid w:val="0047338D"/>
    <w:rsid w:val="004735C8"/>
    <w:rsid w:val="00474CC4"/>
    <w:rsid w:val="00474D5D"/>
    <w:rsid w:val="0047594C"/>
    <w:rsid w:val="004762B8"/>
    <w:rsid w:val="004765AC"/>
    <w:rsid w:val="00476913"/>
    <w:rsid w:val="0047729C"/>
    <w:rsid w:val="0047736F"/>
    <w:rsid w:val="00477B61"/>
    <w:rsid w:val="0048050F"/>
    <w:rsid w:val="00480C22"/>
    <w:rsid w:val="00480E50"/>
    <w:rsid w:val="00480E69"/>
    <w:rsid w:val="00481551"/>
    <w:rsid w:val="0048416B"/>
    <w:rsid w:val="0048626B"/>
    <w:rsid w:val="004865F9"/>
    <w:rsid w:val="00486BD0"/>
    <w:rsid w:val="00487CA0"/>
    <w:rsid w:val="00490B93"/>
    <w:rsid w:val="00491901"/>
    <w:rsid w:val="00492078"/>
    <w:rsid w:val="004920FE"/>
    <w:rsid w:val="00492C1E"/>
    <w:rsid w:val="0049302E"/>
    <w:rsid w:val="0049344D"/>
    <w:rsid w:val="004936E6"/>
    <w:rsid w:val="00493A86"/>
    <w:rsid w:val="00494D50"/>
    <w:rsid w:val="004952DD"/>
    <w:rsid w:val="00495328"/>
    <w:rsid w:val="0049544B"/>
    <w:rsid w:val="00495CAE"/>
    <w:rsid w:val="00495EBD"/>
    <w:rsid w:val="004970F8"/>
    <w:rsid w:val="00497BC1"/>
    <w:rsid w:val="004A0303"/>
    <w:rsid w:val="004A0AD9"/>
    <w:rsid w:val="004A0FED"/>
    <w:rsid w:val="004A125A"/>
    <w:rsid w:val="004A1811"/>
    <w:rsid w:val="004A1961"/>
    <w:rsid w:val="004A19BF"/>
    <w:rsid w:val="004A4C0F"/>
    <w:rsid w:val="004A4E4C"/>
    <w:rsid w:val="004A5487"/>
    <w:rsid w:val="004A5C67"/>
    <w:rsid w:val="004B02D8"/>
    <w:rsid w:val="004B0E7D"/>
    <w:rsid w:val="004B1B16"/>
    <w:rsid w:val="004B1BF0"/>
    <w:rsid w:val="004B27B3"/>
    <w:rsid w:val="004B2F85"/>
    <w:rsid w:val="004B3059"/>
    <w:rsid w:val="004B35DA"/>
    <w:rsid w:val="004B3CF4"/>
    <w:rsid w:val="004B450C"/>
    <w:rsid w:val="004B633D"/>
    <w:rsid w:val="004B709A"/>
    <w:rsid w:val="004B7415"/>
    <w:rsid w:val="004C22BD"/>
    <w:rsid w:val="004C2408"/>
    <w:rsid w:val="004C3028"/>
    <w:rsid w:val="004C4769"/>
    <w:rsid w:val="004C5870"/>
    <w:rsid w:val="004C5C81"/>
    <w:rsid w:val="004C63A2"/>
    <w:rsid w:val="004C6724"/>
    <w:rsid w:val="004C6E4B"/>
    <w:rsid w:val="004C772B"/>
    <w:rsid w:val="004D0DA4"/>
    <w:rsid w:val="004D17AF"/>
    <w:rsid w:val="004D28EB"/>
    <w:rsid w:val="004D3337"/>
    <w:rsid w:val="004D3BE8"/>
    <w:rsid w:val="004D4C12"/>
    <w:rsid w:val="004D50BE"/>
    <w:rsid w:val="004D54A7"/>
    <w:rsid w:val="004D6C24"/>
    <w:rsid w:val="004D7CD5"/>
    <w:rsid w:val="004E0F45"/>
    <w:rsid w:val="004E1A8C"/>
    <w:rsid w:val="004E1C1D"/>
    <w:rsid w:val="004E2848"/>
    <w:rsid w:val="004E28D9"/>
    <w:rsid w:val="004E3393"/>
    <w:rsid w:val="004E3A84"/>
    <w:rsid w:val="004E3EAC"/>
    <w:rsid w:val="004E41F2"/>
    <w:rsid w:val="004E526E"/>
    <w:rsid w:val="004E6674"/>
    <w:rsid w:val="004E691A"/>
    <w:rsid w:val="004E7D09"/>
    <w:rsid w:val="004F0DC3"/>
    <w:rsid w:val="004F14A5"/>
    <w:rsid w:val="004F1F05"/>
    <w:rsid w:val="004F29B9"/>
    <w:rsid w:val="004F40B9"/>
    <w:rsid w:val="004F48E8"/>
    <w:rsid w:val="004F5321"/>
    <w:rsid w:val="004F5A39"/>
    <w:rsid w:val="004F5F1A"/>
    <w:rsid w:val="004F65D0"/>
    <w:rsid w:val="004F76A2"/>
    <w:rsid w:val="004F7826"/>
    <w:rsid w:val="004F7E4E"/>
    <w:rsid w:val="0050071B"/>
    <w:rsid w:val="00500D78"/>
    <w:rsid w:val="00501423"/>
    <w:rsid w:val="00501A88"/>
    <w:rsid w:val="00501C0A"/>
    <w:rsid w:val="00501CFC"/>
    <w:rsid w:val="005027B7"/>
    <w:rsid w:val="00502F39"/>
    <w:rsid w:val="00502FA5"/>
    <w:rsid w:val="005044A5"/>
    <w:rsid w:val="00504521"/>
    <w:rsid w:val="00504E6F"/>
    <w:rsid w:val="0050545D"/>
    <w:rsid w:val="00505B96"/>
    <w:rsid w:val="00506080"/>
    <w:rsid w:val="0050650E"/>
    <w:rsid w:val="00506BC2"/>
    <w:rsid w:val="00507011"/>
    <w:rsid w:val="00507120"/>
    <w:rsid w:val="00507386"/>
    <w:rsid w:val="0050779A"/>
    <w:rsid w:val="00510244"/>
    <w:rsid w:val="00512049"/>
    <w:rsid w:val="005123BA"/>
    <w:rsid w:val="005130CC"/>
    <w:rsid w:val="005137E9"/>
    <w:rsid w:val="005140D8"/>
    <w:rsid w:val="005142CE"/>
    <w:rsid w:val="00515355"/>
    <w:rsid w:val="005153AA"/>
    <w:rsid w:val="005155A2"/>
    <w:rsid w:val="00515937"/>
    <w:rsid w:val="00515A3F"/>
    <w:rsid w:val="00515FA6"/>
    <w:rsid w:val="00516478"/>
    <w:rsid w:val="005177BE"/>
    <w:rsid w:val="00517AC3"/>
    <w:rsid w:val="00517CBF"/>
    <w:rsid w:val="0052056B"/>
    <w:rsid w:val="00520F00"/>
    <w:rsid w:val="00521ADE"/>
    <w:rsid w:val="00521F3F"/>
    <w:rsid w:val="00525F07"/>
    <w:rsid w:val="00526CCA"/>
    <w:rsid w:val="0052738B"/>
    <w:rsid w:val="00527398"/>
    <w:rsid w:val="00527456"/>
    <w:rsid w:val="005309CF"/>
    <w:rsid w:val="00530A3E"/>
    <w:rsid w:val="00530C48"/>
    <w:rsid w:val="00531C23"/>
    <w:rsid w:val="005323BA"/>
    <w:rsid w:val="00532D86"/>
    <w:rsid w:val="00532ED4"/>
    <w:rsid w:val="005331F8"/>
    <w:rsid w:val="0053576C"/>
    <w:rsid w:val="00537245"/>
    <w:rsid w:val="0053737F"/>
    <w:rsid w:val="0053763C"/>
    <w:rsid w:val="005403CF"/>
    <w:rsid w:val="00540E6E"/>
    <w:rsid w:val="00541B63"/>
    <w:rsid w:val="005424E1"/>
    <w:rsid w:val="00542BF2"/>
    <w:rsid w:val="00542FF0"/>
    <w:rsid w:val="00543702"/>
    <w:rsid w:val="00544639"/>
    <w:rsid w:val="005452B6"/>
    <w:rsid w:val="005457B0"/>
    <w:rsid w:val="00545DDE"/>
    <w:rsid w:val="00546560"/>
    <w:rsid w:val="00546E33"/>
    <w:rsid w:val="00547E78"/>
    <w:rsid w:val="00547FB0"/>
    <w:rsid w:val="00551379"/>
    <w:rsid w:val="0055198C"/>
    <w:rsid w:val="00551C8B"/>
    <w:rsid w:val="00551CBE"/>
    <w:rsid w:val="0055294D"/>
    <w:rsid w:val="00552F1A"/>
    <w:rsid w:val="005534BE"/>
    <w:rsid w:val="00553BF5"/>
    <w:rsid w:val="00553D2C"/>
    <w:rsid w:val="0055427B"/>
    <w:rsid w:val="005542EE"/>
    <w:rsid w:val="00555804"/>
    <w:rsid w:val="00555C96"/>
    <w:rsid w:val="00555F35"/>
    <w:rsid w:val="0055624E"/>
    <w:rsid w:val="00556382"/>
    <w:rsid w:val="00556451"/>
    <w:rsid w:val="00556EFD"/>
    <w:rsid w:val="00557FBE"/>
    <w:rsid w:val="00561B7E"/>
    <w:rsid w:val="00561C0F"/>
    <w:rsid w:val="005626C2"/>
    <w:rsid w:val="00562721"/>
    <w:rsid w:val="00563855"/>
    <w:rsid w:val="00563CF1"/>
    <w:rsid w:val="0056526E"/>
    <w:rsid w:val="00565A6C"/>
    <w:rsid w:val="00565AA8"/>
    <w:rsid w:val="00566F42"/>
    <w:rsid w:val="00567050"/>
    <w:rsid w:val="00570A37"/>
    <w:rsid w:val="00570A73"/>
    <w:rsid w:val="005717DC"/>
    <w:rsid w:val="00572468"/>
    <w:rsid w:val="00572DC1"/>
    <w:rsid w:val="00572DE7"/>
    <w:rsid w:val="005732B7"/>
    <w:rsid w:val="005738CA"/>
    <w:rsid w:val="00573DCF"/>
    <w:rsid w:val="00574264"/>
    <w:rsid w:val="0057454C"/>
    <w:rsid w:val="00574D22"/>
    <w:rsid w:val="00575B26"/>
    <w:rsid w:val="00576655"/>
    <w:rsid w:val="00576E5A"/>
    <w:rsid w:val="00577C08"/>
    <w:rsid w:val="005815B2"/>
    <w:rsid w:val="0058191C"/>
    <w:rsid w:val="0058273C"/>
    <w:rsid w:val="00582E7E"/>
    <w:rsid w:val="00584CC3"/>
    <w:rsid w:val="005852A9"/>
    <w:rsid w:val="00585A32"/>
    <w:rsid w:val="00587253"/>
    <w:rsid w:val="00587867"/>
    <w:rsid w:val="00592020"/>
    <w:rsid w:val="00594361"/>
    <w:rsid w:val="005945FC"/>
    <w:rsid w:val="00594637"/>
    <w:rsid w:val="00594A25"/>
    <w:rsid w:val="00594FF6"/>
    <w:rsid w:val="005950BD"/>
    <w:rsid w:val="0059511B"/>
    <w:rsid w:val="005964FD"/>
    <w:rsid w:val="00597A69"/>
    <w:rsid w:val="00597E2C"/>
    <w:rsid w:val="005A0659"/>
    <w:rsid w:val="005A0991"/>
    <w:rsid w:val="005A1E12"/>
    <w:rsid w:val="005A238E"/>
    <w:rsid w:val="005A2894"/>
    <w:rsid w:val="005A2B1D"/>
    <w:rsid w:val="005A3AD9"/>
    <w:rsid w:val="005A3C96"/>
    <w:rsid w:val="005A41DA"/>
    <w:rsid w:val="005A4641"/>
    <w:rsid w:val="005A4D23"/>
    <w:rsid w:val="005A50B0"/>
    <w:rsid w:val="005A50C1"/>
    <w:rsid w:val="005A5E7C"/>
    <w:rsid w:val="005A5E82"/>
    <w:rsid w:val="005A6B2A"/>
    <w:rsid w:val="005A78E7"/>
    <w:rsid w:val="005A7CBE"/>
    <w:rsid w:val="005B0A26"/>
    <w:rsid w:val="005B0EAD"/>
    <w:rsid w:val="005B0FE9"/>
    <w:rsid w:val="005B1055"/>
    <w:rsid w:val="005B14E3"/>
    <w:rsid w:val="005B3A8E"/>
    <w:rsid w:val="005B3C5F"/>
    <w:rsid w:val="005B4492"/>
    <w:rsid w:val="005B528E"/>
    <w:rsid w:val="005B5315"/>
    <w:rsid w:val="005B56DA"/>
    <w:rsid w:val="005B5A1E"/>
    <w:rsid w:val="005B5C87"/>
    <w:rsid w:val="005B68E8"/>
    <w:rsid w:val="005C0551"/>
    <w:rsid w:val="005C06FC"/>
    <w:rsid w:val="005C1E47"/>
    <w:rsid w:val="005C235D"/>
    <w:rsid w:val="005C444C"/>
    <w:rsid w:val="005C466A"/>
    <w:rsid w:val="005C5106"/>
    <w:rsid w:val="005C5D44"/>
    <w:rsid w:val="005C5E91"/>
    <w:rsid w:val="005C61EA"/>
    <w:rsid w:val="005C6237"/>
    <w:rsid w:val="005C6BE0"/>
    <w:rsid w:val="005D04AD"/>
    <w:rsid w:val="005D07DC"/>
    <w:rsid w:val="005D09B6"/>
    <w:rsid w:val="005D139B"/>
    <w:rsid w:val="005D1ED6"/>
    <w:rsid w:val="005D34D3"/>
    <w:rsid w:val="005D63BC"/>
    <w:rsid w:val="005E0673"/>
    <w:rsid w:val="005E12C6"/>
    <w:rsid w:val="005E141B"/>
    <w:rsid w:val="005E2121"/>
    <w:rsid w:val="005E2A44"/>
    <w:rsid w:val="005E310E"/>
    <w:rsid w:val="005E38A7"/>
    <w:rsid w:val="005E45CC"/>
    <w:rsid w:val="005E509C"/>
    <w:rsid w:val="005E5629"/>
    <w:rsid w:val="005E5F23"/>
    <w:rsid w:val="005E63E9"/>
    <w:rsid w:val="005E6CC2"/>
    <w:rsid w:val="005E7B57"/>
    <w:rsid w:val="005F0152"/>
    <w:rsid w:val="005F043B"/>
    <w:rsid w:val="005F184D"/>
    <w:rsid w:val="005F25DB"/>
    <w:rsid w:val="005F2ECC"/>
    <w:rsid w:val="005F3F0D"/>
    <w:rsid w:val="005F494D"/>
    <w:rsid w:val="005F6CB3"/>
    <w:rsid w:val="005F6FCD"/>
    <w:rsid w:val="005F7856"/>
    <w:rsid w:val="006004E4"/>
    <w:rsid w:val="00600589"/>
    <w:rsid w:val="006011B5"/>
    <w:rsid w:val="006015BC"/>
    <w:rsid w:val="00602607"/>
    <w:rsid w:val="00602834"/>
    <w:rsid w:val="00602A02"/>
    <w:rsid w:val="00603168"/>
    <w:rsid w:val="0060676E"/>
    <w:rsid w:val="006076F2"/>
    <w:rsid w:val="0060786A"/>
    <w:rsid w:val="0061023C"/>
    <w:rsid w:val="00611C10"/>
    <w:rsid w:val="00612F47"/>
    <w:rsid w:val="00614698"/>
    <w:rsid w:val="006152AB"/>
    <w:rsid w:val="006159B6"/>
    <w:rsid w:val="00615C2C"/>
    <w:rsid w:val="00617306"/>
    <w:rsid w:val="00617522"/>
    <w:rsid w:val="006203B6"/>
    <w:rsid w:val="00620F0D"/>
    <w:rsid w:val="006215A0"/>
    <w:rsid w:val="00622CA4"/>
    <w:rsid w:val="00623519"/>
    <w:rsid w:val="006250C7"/>
    <w:rsid w:val="006257CB"/>
    <w:rsid w:val="00625A24"/>
    <w:rsid w:val="00625BBB"/>
    <w:rsid w:val="00625CC9"/>
    <w:rsid w:val="006260A3"/>
    <w:rsid w:val="00626250"/>
    <w:rsid w:val="00627EC4"/>
    <w:rsid w:val="006304F8"/>
    <w:rsid w:val="00630B54"/>
    <w:rsid w:val="00630D1E"/>
    <w:rsid w:val="006313D5"/>
    <w:rsid w:val="0063227E"/>
    <w:rsid w:val="00632C9B"/>
    <w:rsid w:val="00632E11"/>
    <w:rsid w:val="006335F3"/>
    <w:rsid w:val="0063394B"/>
    <w:rsid w:val="00633AAE"/>
    <w:rsid w:val="006344FF"/>
    <w:rsid w:val="0063466C"/>
    <w:rsid w:val="00634B8A"/>
    <w:rsid w:val="006363C0"/>
    <w:rsid w:val="0063701E"/>
    <w:rsid w:val="00637BAB"/>
    <w:rsid w:val="006402DF"/>
    <w:rsid w:val="00640E74"/>
    <w:rsid w:val="00641578"/>
    <w:rsid w:val="00641C7D"/>
    <w:rsid w:val="00642752"/>
    <w:rsid w:val="006427E6"/>
    <w:rsid w:val="006428FD"/>
    <w:rsid w:val="00642964"/>
    <w:rsid w:val="006438EE"/>
    <w:rsid w:val="00644224"/>
    <w:rsid w:val="00644B7D"/>
    <w:rsid w:val="00645E03"/>
    <w:rsid w:val="00646216"/>
    <w:rsid w:val="00646CD4"/>
    <w:rsid w:val="00646E52"/>
    <w:rsid w:val="00647815"/>
    <w:rsid w:val="006479D6"/>
    <w:rsid w:val="00650031"/>
    <w:rsid w:val="00650650"/>
    <w:rsid w:val="006511F0"/>
    <w:rsid w:val="0065179F"/>
    <w:rsid w:val="00651CFD"/>
    <w:rsid w:val="00654027"/>
    <w:rsid w:val="0065430B"/>
    <w:rsid w:val="00654642"/>
    <w:rsid w:val="006555B6"/>
    <w:rsid w:val="006558B3"/>
    <w:rsid w:val="0065627C"/>
    <w:rsid w:val="0065796C"/>
    <w:rsid w:val="006608D3"/>
    <w:rsid w:val="00661093"/>
    <w:rsid w:val="006610A8"/>
    <w:rsid w:val="0066185D"/>
    <w:rsid w:val="00661DD2"/>
    <w:rsid w:val="006623F5"/>
    <w:rsid w:val="006628A9"/>
    <w:rsid w:val="0066303D"/>
    <w:rsid w:val="00664BC0"/>
    <w:rsid w:val="00665C1E"/>
    <w:rsid w:val="0066611F"/>
    <w:rsid w:val="00666931"/>
    <w:rsid w:val="006717B5"/>
    <w:rsid w:val="00671C56"/>
    <w:rsid w:val="006725B9"/>
    <w:rsid w:val="00672AA8"/>
    <w:rsid w:val="0067326A"/>
    <w:rsid w:val="006740D1"/>
    <w:rsid w:val="0067480B"/>
    <w:rsid w:val="00674926"/>
    <w:rsid w:val="00675245"/>
    <w:rsid w:val="00675296"/>
    <w:rsid w:val="006755C6"/>
    <w:rsid w:val="00675EB6"/>
    <w:rsid w:val="00676B1F"/>
    <w:rsid w:val="00676BDD"/>
    <w:rsid w:val="00676BF2"/>
    <w:rsid w:val="00680276"/>
    <w:rsid w:val="00680F4D"/>
    <w:rsid w:val="006811BE"/>
    <w:rsid w:val="0068134D"/>
    <w:rsid w:val="00681795"/>
    <w:rsid w:val="00682DE8"/>
    <w:rsid w:val="0068305E"/>
    <w:rsid w:val="0068316B"/>
    <w:rsid w:val="00683FF0"/>
    <w:rsid w:val="006840C2"/>
    <w:rsid w:val="0068471F"/>
    <w:rsid w:val="00684814"/>
    <w:rsid w:val="00684DAC"/>
    <w:rsid w:val="006855CA"/>
    <w:rsid w:val="00686BBF"/>
    <w:rsid w:val="006876A4"/>
    <w:rsid w:val="006878A8"/>
    <w:rsid w:val="00687E18"/>
    <w:rsid w:val="006909B0"/>
    <w:rsid w:val="00690C5D"/>
    <w:rsid w:val="00690C60"/>
    <w:rsid w:val="006920D3"/>
    <w:rsid w:val="006924D7"/>
    <w:rsid w:val="00696D6A"/>
    <w:rsid w:val="006976BC"/>
    <w:rsid w:val="00697C12"/>
    <w:rsid w:val="006A0BFD"/>
    <w:rsid w:val="006A13D0"/>
    <w:rsid w:val="006A1409"/>
    <w:rsid w:val="006A2886"/>
    <w:rsid w:val="006A2EBF"/>
    <w:rsid w:val="006A30A5"/>
    <w:rsid w:val="006A3146"/>
    <w:rsid w:val="006A3318"/>
    <w:rsid w:val="006A3526"/>
    <w:rsid w:val="006A43CE"/>
    <w:rsid w:val="006A4679"/>
    <w:rsid w:val="006A47D8"/>
    <w:rsid w:val="006A572A"/>
    <w:rsid w:val="006A662E"/>
    <w:rsid w:val="006A6A33"/>
    <w:rsid w:val="006A7229"/>
    <w:rsid w:val="006A7CB4"/>
    <w:rsid w:val="006B0227"/>
    <w:rsid w:val="006B05A0"/>
    <w:rsid w:val="006B0DB2"/>
    <w:rsid w:val="006B0F78"/>
    <w:rsid w:val="006B1949"/>
    <w:rsid w:val="006B1FC7"/>
    <w:rsid w:val="006B2A1F"/>
    <w:rsid w:val="006B3CA8"/>
    <w:rsid w:val="006B42CB"/>
    <w:rsid w:val="006B44A5"/>
    <w:rsid w:val="006B56C4"/>
    <w:rsid w:val="006B5923"/>
    <w:rsid w:val="006B6100"/>
    <w:rsid w:val="006B73F6"/>
    <w:rsid w:val="006B79B3"/>
    <w:rsid w:val="006C046C"/>
    <w:rsid w:val="006C0499"/>
    <w:rsid w:val="006C0869"/>
    <w:rsid w:val="006C1A2B"/>
    <w:rsid w:val="006C2061"/>
    <w:rsid w:val="006C30FE"/>
    <w:rsid w:val="006C35AB"/>
    <w:rsid w:val="006C3635"/>
    <w:rsid w:val="006C4567"/>
    <w:rsid w:val="006C5965"/>
    <w:rsid w:val="006C7168"/>
    <w:rsid w:val="006D04D0"/>
    <w:rsid w:val="006D0DA9"/>
    <w:rsid w:val="006D143F"/>
    <w:rsid w:val="006D1926"/>
    <w:rsid w:val="006D3F91"/>
    <w:rsid w:val="006D45AB"/>
    <w:rsid w:val="006D50FD"/>
    <w:rsid w:val="006D54A4"/>
    <w:rsid w:val="006D5B5D"/>
    <w:rsid w:val="006D6ECB"/>
    <w:rsid w:val="006D73EB"/>
    <w:rsid w:val="006D7603"/>
    <w:rsid w:val="006D772D"/>
    <w:rsid w:val="006D784C"/>
    <w:rsid w:val="006E12A5"/>
    <w:rsid w:val="006E1469"/>
    <w:rsid w:val="006E1D53"/>
    <w:rsid w:val="006E3AD2"/>
    <w:rsid w:val="006E3B21"/>
    <w:rsid w:val="006E3EE4"/>
    <w:rsid w:val="006E421A"/>
    <w:rsid w:val="006E473E"/>
    <w:rsid w:val="006E498A"/>
    <w:rsid w:val="006E6053"/>
    <w:rsid w:val="006F04BD"/>
    <w:rsid w:val="006F0F57"/>
    <w:rsid w:val="006F10AB"/>
    <w:rsid w:val="006F20F0"/>
    <w:rsid w:val="006F264A"/>
    <w:rsid w:val="006F27A5"/>
    <w:rsid w:val="006F2938"/>
    <w:rsid w:val="006F3443"/>
    <w:rsid w:val="006F3475"/>
    <w:rsid w:val="006F3A1E"/>
    <w:rsid w:val="006F4473"/>
    <w:rsid w:val="006F493D"/>
    <w:rsid w:val="006F5068"/>
    <w:rsid w:val="006F51D0"/>
    <w:rsid w:val="006F5DE6"/>
    <w:rsid w:val="006F720B"/>
    <w:rsid w:val="006F7EA4"/>
    <w:rsid w:val="0070030D"/>
    <w:rsid w:val="00700704"/>
    <w:rsid w:val="007021B3"/>
    <w:rsid w:val="00702703"/>
    <w:rsid w:val="00702CA5"/>
    <w:rsid w:val="00703AE9"/>
    <w:rsid w:val="007046E0"/>
    <w:rsid w:val="0070499D"/>
    <w:rsid w:val="00704D98"/>
    <w:rsid w:val="00705EAB"/>
    <w:rsid w:val="00706194"/>
    <w:rsid w:val="00706998"/>
    <w:rsid w:val="00706E9D"/>
    <w:rsid w:val="007073DE"/>
    <w:rsid w:val="0070777D"/>
    <w:rsid w:val="00710461"/>
    <w:rsid w:val="00710912"/>
    <w:rsid w:val="00710C05"/>
    <w:rsid w:val="007110CF"/>
    <w:rsid w:val="007110F7"/>
    <w:rsid w:val="00711D49"/>
    <w:rsid w:val="00712028"/>
    <w:rsid w:val="007134FE"/>
    <w:rsid w:val="0071504A"/>
    <w:rsid w:val="00715B8A"/>
    <w:rsid w:val="007163CE"/>
    <w:rsid w:val="00716DF1"/>
    <w:rsid w:val="00717096"/>
    <w:rsid w:val="0071746A"/>
    <w:rsid w:val="007178DC"/>
    <w:rsid w:val="00717C9A"/>
    <w:rsid w:val="00717D39"/>
    <w:rsid w:val="007200CB"/>
    <w:rsid w:val="00720EA6"/>
    <w:rsid w:val="00722F29"/>
    <w:rsid w:val="00723010"/>
    <w:rsid w:val="0072333C"/>
    <w:rsid w:val="0072536F"/>
    <w:rsid w:val="00725385"/>
    <w:rsid w:val="007260C4"/>
    <w:rsid w:val="007268D8"/>
    <w:rsid w:val="00726D87"/>
    <w:rsid w:val="00727650"/>
    <w:rsid w:val="00727A3A"/>
    <w:rsid w:val="00727D7F"/>
    <w:rsid w:val="00730BA4"/>
    <w:rsid w:val="0073129A"/>
    <w:rsid w:val="00731B3C"/>
    <w:rsid w:val="007342C0"/>
    <w:rsid w:val="0073502C"/>
    <w:rsid w:val="00736339"/>
    <w:rsid w:val="00736F6D"/>
    <w:rsid w:val="007400E0"/>
    <w:rsid w:val="00740F8D"/>
    <w:rsid w:val="007416FA"/>
    <w:rsid w:val="00741965"/>
    <w:rsid w:val="007425EA"/>
    <w:rsid w:val="00742E06"/>
    <w:rsid w:val="0074316B"/>
    <w:rsid w:val="00743643"/>
    <w:rsid w:val="007443C8"/>
    <w:rsid w:val="0074482A"/>
    <w:rsid w:val="0074570C"/>
    <w:rsid w:val="00745BD9"/>
    <w:rsid w:val="00746AFC"/>
    <w:rsid w:val="0074749B"/>
    <w:rsid w:val="00750625"/>
    <w:rsid w:val="00750E73"/>
    <w:rsid w:val="00751060"/>
    <w:rsid w:val="007515CC"/>
    <w:rsid w:val="00751C9C"/>
    <w:rsid w:val="007526D8"/>
    <w:rsid w:val="00752E62"/>
    <w:rsid w:val="00752F6B"/>
    <w:rsid w:val="007530BE"/>
    <w:rsid w:val="0075331E"/>
    <w:rsid w:val="00753672"/>
    <w:rsid w:val="00754269"/>
    <w:rsid w:val="00754ADE"/>
    <w:rsid w:val="00754C1E"/>
    <w:rsid w:val="00754D97"/>
    <w:rsid w:val="0075530C"/>
    <w:rsid w:val="00756824"/>
    <w:rsid w:val="0075687D"/>
    <w:rsid w:val="00757036"/>
    <w:rsid w:val="007571CE"/>
    <w:rsid w:val="00757223"/>
    <w:rsid w:val="00760B1A"/>
    <w:rsid w:val="00761470"/>
    <w:rsid w:val="00761A6C"/>
    <w:rsid w:val="00761C75"/>
    <w:rsid w:val="00761CF4"/>
    <w:rsid w:val="00762A77"/>
    <w:rsid w:val="007630BC"/>
    <w:rsid w:val="00763681"/>
    <w:rsid w:val="007638C2"/>
    <w:rsid w:val="00763EFA"/>
    <w:rsid w:val="00766BA0"/>
    <w:rsid w:val="00770737"/>
    <w:rsid w:val="00770DF8"/>
    <w:rsid w:val="00771235"/>
    <w:rsid w:val="00771E9F"/>
    <w:rsid w:val="00771EFE"/>
    <w:rsid w:val="0077269C"/>
    <w:rsid w:val="0077277E"/>
    <w:rsid w:val="007729C6"/>
    <w:rsid w:val="00772AC8"/>
    <w:rsid w:val="00772F01"/>
    <w:rsid w:val="00773654"/>
    <w:rsid w:val="00773B8F"/>
    <w:rsid w:val="00774C5E"/>
    <w:rsid w:val="0077538D"/>
    <w:rsid w:val="0077588C"/>
    <w:rsid w:val="00775CC6"/>
    <w:rsid w:val="00776AA0"/>
    <w:rsid w:val="00777389"/>
    <w:rsid w:val="00777399"/>
    <w:rsid w:val="00777ABD"/>
    <w:rsid w:val="00780309"/>
    <w:rsid w:val="007803CF"/>
    <w:rsid w:val="0078042E"/>
    <w:rsid w:val="007808FD"/>
    <w:rsid w:val="00781AFD"/>
    <w:rsid w:val="00781DDA"/>
    <w:rsid w:val="007825A0"/>
    <w:rsid w:val="007827ED"/>
    <w:rsid w:val="00783938"/>
    <w:rsid w:val="00784225"/>
    <w:rsid w:val="00786C66"/>
    <w:rsid w:val="00786DB5"/>
    <w:rsid w:val="00787341"/>
    <w:rsid w:val="00790A34"/>
    <w:rsid w:val="00794628"/>
    <w:rsid w:val="00794639"/>
    <w:rsid w:val="00795737"/>
    <w:rsid w:val="00795D7F"/>
    <w:rsid w:val="00797B9B"/>
    <w:rsid w:val="00797E31"/>
    <w:rsid w:val="00797FDD"/>
    <w:rsid w:val="007A1847"/>
    <w:rsid w:val="007A217C"/>
    <w:rsid w:val="007A2FF7"/>
    <w:rsid w:val="007A4691"/>
    <w:rsid w:val="007A4C70"/>
    <w:rsid w:val="007A58C1"/>
    <w:rsid w:val="007A597A"/>
    <w:rsid w:val="007A649E"/>
    <w:rsid w:val="007A6FD3"/>
    <w:rsid w:val="007B08B0"/>
    <w:rsid w:val="007B0C69"/>
    <w:rsid w:val="007B0DB2"/>
    <w:rsid w:val="007B0F7A"/>
    <w:rsid w:val="007B1F3B"/>
    <w:rsid w:val="007B27F1"/>
    <w:rsid w:val="007B2EDD"/>
    <w:rsid w:val="007B368A"/>
    <w:rsid w:val="007B4061"/>
    <w:rsid w:val="007B454E"/>
    <w:rsid w:val="007B45D4"/>
    <w:rsid w:val="007B63AB"/>
    <w:rsid w:val="007C1C2A"/>
    <w:rsid w:val="007C1EB1"/>
    <w:rsid w:val="007C2116"/>
    <w:rsid w:val="007C21B0"/>
    <w:rsid w:val="007C2E82"/>
    <w:rsid w:val="007C376C"/>
    <w:rsid w:val="007C3D4D"/>
    <w:rsid w:val="007C3FE0"/>
    <w:rsid w:val="007C5161"/>
    <w:rsid w:val="007C5DCC"/>
    <w:rsid w:val="007C5E33"/>
    <w:rsid w:val="007C658F"/>
    <w:rsid w:val="007C766E"/>
    <w:rsid w:val="007D0C9E"/>
    <w:rsid w:val="007D1842"/>
    <w:rsid w:val="007D1C0C"/>
    <w:rsid w:val="007D296E"/>
    <w:rsid w:val="007D2B96"/>
    <w:rsid w:val="007D3849"/>
    <w:rsid w:val="007D3B97"/>
    <w:rsid w:val="007D4051"/>
    <w:rsid w:val="007D44DB"/>
    <w:rsid w:val="007D4630"/>
    <w:rsid w:val="007D52BA"/>
    <w:rsid w:val="007D53BC"/>
    <w:rsid w:val="007D5551"/>
    <w:rsid w:val="007D669A"/>
    <w:rsid w:val="007D68C5"/>
    <w:rsid w:val="007D6993"/>
    <w:rsid w:val="007D6BBE"/>
    <w:rsid w:val="007E0855"/>
    <w:rsid w:val="007E096F"/>
    <w:rsid w:val="007E0984"/>
    <w:rsid w:val="007E10BC"/>
    <w:rsid w:val="007E28CB"/>
    <w:rsid w:val="007E2E05"/>
    <w:rsid w:val="007E3427"/>
    <w:rsid w:val="007E3BB2"/>
    <w:rsid w:val="007E51EE"/>
    <w:rsid w:val="007E606D"/>
    <w:rsid w:val="007E6D78"/>
    <w:rsid w:val="007E77E1"/>
    <w:rsid w:val="007F0664"/>
    <w:rsid w:val="007F0880"/>
    <w:rsid w:val="007F0A92"/>
    <w:rsid w:val="007F0BFF"/>
    <w:rsid w:val="007F11F3"/>
    <w:rsid w:val="007F129B"/>
    <w:rsid w:val="007F2710"/>
    <w:rsid w:val="007F2A53"/>
    <w:rsid w:val="007F38AA"/>
    <w:rsid w:val="007F3928"/>
    <w:rsid w:val="007F4FB9"/>
    <w:rsid w:val="007F5A05"/>
    <w:rsid w:val="007F5AB7"/>
    <w:rsid w:val="007F5FFC"/>
    <w:rsid w:val="007F6C6D"/>
    <w:rsid w:val="007F7D02"/>
    <w:rsid w:val="007F7D53"/>
    <w:rsid w:val="007F7EB1"/>
    <w:rsid w:val="0080006B"/>
    <w:rsid w:val="008007C9"/>
    <w:rsid w:val="008023BF"/>
    <w:rsid w:val="008037B3"/>
    <w:rsid w:val="00803BBD"/>
    <w:rsid w:val="00803CE3"/>
    <w:rsid w:val="00804E41"/>
    <w:rsid w:val="00804EE5"/>
    <w:rsid w:val="008066D8"/>
    <w:rsid w:val="008070E0"/>
    <w:rsid w:val="008075FE"/>
    <w:rsid w:val="00807AB2"/>
    <w:rsid w:val="00807BE2"/>
    <w:rsid w:val="0081079D"/>
    <w:rsid w:val="00810D75"/>
    <w:rsid w:val="00811BB8"/>
    <w:rsid w:val="008138C4"/>
    <w:rsid w:val="00813904"/>
    <w:rsid w:val="008146B6"/>
    <w:rsid w:val="00814B92"/>
    <w:rsid w:val="00817358"/>
    <w:rsid w:val="0081767E"/>
    <w:rsid w:val="008176AC"/>
    <w:rsid w:val="008206B6"/>
    <w:rsid w:val="00820B65"/>
    <w:rsid w:val="008211EC"/>
    <w:rsid w:val="00822197"/>
    <w:rsid w:val="0082301D"/>
    <w:rsid w:val="008235D0"/>
    <w:rsid w:val="00823E09"/>
    <w:rsid w:val="00824EDD"/>
    <w:rsid w:val="00825921"/>
    <w:rsid w:val="00825A32"/>
    <w:rsid w:val="00826276"/>
    <w:rsid w:val="00826E20"/>
    <w:rsid w:val="00826F63"/>
    <w:rsid w:val="00827130"/>
    <w:rsid w:val="00827517"/>
    <w:rsid w:val="00827700"/>
    <w:rsid w:val="00830270"/>
    <w:rsid w:val="00830CDA"/>
    <w:rsid w:val="008353F6"/>
    <w:rsid w:val="00835904"/>
    <w:rsid w:val="00836D23"/>
    <w:rsid w:val="008371BA"/>
    <w:rsid w:val="00840255"/>
    <w:rsid w:val="008404E8"/>
    <w:rsid w:val="00840ACE"/>
    <w:rsid w:val="008413D1"/>
    <w:rsid w:val="00841554"/>
    <w:rsid w:val="00841C36"/>
    <w:rsid w:val="00841F17"/>
    <w:rsid w:val="008427B8"/>
    <w:rsid w:val="008432B8"/>
    <w:rsid w:val="0084339C"/>
    <w:rsid w:val="00843401"/>
    <w:rsid w:val="0084344A"/>
    <w:rsid w:val="008444F3"/>
    <w:rsid w:val="00844713"/>
    <w:rsid w:val="00844D63"/>
    <w:rsid w:val="00845612"/>
    <w:rsid w:val="008459AF"/>
    <w:rsid w:val="00845D85"/>
    <w:rsid w:val="008468D5"/>
    <w:rsid w:val="00846CC6"/>
    <w:rsid w:val="008474E7"/>
    <w:rsid w:val="00847501"/>
    <w:rsid w:val="00847ADD"/>
    <w:rsid w:val="00850B9D"/>
    <w:rsid w:val="00850CE7"/>
    <w:rsid w:val="008510C5"/>
    <w:rsid w:val="00851C8A"/>
    <w:rsid w:val="00851DAA"/>
    <w:rsid w:val="008523C8"/>
    <w:rsid w:val="00853E0F"/>
    <w:rsid w:val="0085444C"/>
    <w:rsid w:val="008546EA"/>
    <w:rsid w:val="00854FFF"/>
    <w:rsid w:val="00855458"/>
    <w:rsid w:val="00855831"/>
    <w:rsid w:val="00855CEF"/>
    <w:rsid w:val="00855E77"/>
    <w:rsid w:val="00856301"/>
    <w:rsid w:val="008571B4"/>
    <w:rsid w:val="008613DA"/>
    <w:rsid w:val="00863298"/>
    <w:rsid w:val="00863A11"/>
    <w:rsid w:val="008640CE"/>
    <w:rsid w:val="00864F91"/>
    <w:rsid w:val="00865457"/>
    <w:rsid w:val="008659E5"/>
    <w:rsid w:val="00866306"/>
    <w:rsid w:val="00867E60"/>
    <w:rsid w:val="008703E1"/>
    <w:rsid w:val="008716A9"/>
    <w:rsid w:val="0087176E"/>
    <w:rsid w:val="008725EE"/>
    <w:rsid w:val="0087260C"/>
    <w:rsid w:val="00873706"/>
    <w:rsid w:val="0087382F"/>
    <w:rsid w:val="00873D4A"/>
    <w:rsid w:val="008745D2"/>
    <w:rsid w:val="00874F0E"/>
    <w:rsid w:val="0087514F"/>
    <w:rsid w:val="00875C52"/>
    <w:rsid w:val="00875F21"/>
    <w:rsid w:val="00876318"/>
    <w:rsid w:val="0087674B"/>
    <w:rsid w:val="00876BAA"/>
    <w:rsid w:val="00876BC4"/>
    <w:rsid w:val="0087724B"/>
    <w:rsid w:val="008779A1"/>
    <w:rsid w:val="00877B97"/>
    <w:rsid w:val="00877CDF"/>
    <w:rsid w:val="008800A9"/>
    <w:rsid w:val="00880284"/>
    <w:rsid w:val="008802F0"/>
    <w:rsid w:val="00880F45"/>
    <w:rsid w:val="00881CE9"/>
    <w:rsid w:val="00882A69"/>
    <w:rsid w:val="008839D9"/>
    <w:rsid w:val="008850A1"/>
    <w:rsid w:val="0088703A"/>
    <w:rsid w:val="0088719E"/>
    <w:rsid w:val="008879DA"/>
    <w:rsid w:val="00887BDD"/>
    <w:rsid w:val="00892806"/>
    <w:rsid w:val="008932B3"/>
    <w:rsid w:val="00893977"/>
    <w:rsid w:val="00893A10"/>
    <w:rsid w:val="00894396"/>
    <w:rsid w:val="00895EA4"/>
    <w:rsid w:val="0089644B"/>
    <w:rsid w:val="00896FAF"/>
    <w:rsid w:val="008972F4"/>
    <w:rsid w:val="00897575"/>
    <w:rsid w:val="00897658"/>
    <w:rsid w:val="008A0B7D"/>
    <w:rsid w:val="008A17E5"/>
    <w:rsid w:val="008A19A5"/>
    <w:rsid w:val="008A1AB9"/>
    <w:rsid w:val="008A1C99"/>
    <w:rsid w:val="008A29DB"/>
    <w:rsid w:val="008A2CFD"/>
    <w:rsid w:val="008A2FB5"/>
    <w:rsid w:val="008A387C"/>
    <w:rsid w:val="008A419F"/>
    <w:rsid w:val="008A4AA9"/>
    <w:rsid w:val="008A5DA3"/>
    <w:rsid w:val="008A70CC"/>
    <w:rsid w:val="008A7139"/>
    <w:rsid w:val="008A71AD"/>
    <w:rsid w:val="008A76D3"/>
    <w:rsid w:val="008A7DD1"/>
    <w:rsid w:val="008B0452"/>
    <w:rsid w:val="008B1388"/>
    <w:rsid w:val="008B1E99"/>
    <w:rsid w:val="008B34E5"/>
    <w:rsid w:val="008B42F3"/>
    <w:rsid w:val="008B4377"/>
    <w:rsid w:val="008B4422"/>
    <w:rsid w:val="008B4876"/>
    <w:rsid w:val="008B4D85"/>
    <w:rsid w:val="008B54BF"/>
    <w:rsid w:val="008B6654"/>
    <w:rsid w:val="008B6918"/>
    <w:rsid w:val="008B6E19"/>
    <w:rsid w:val="008B72C3"/>
    <w:rsid w:val="008B754A"/>
    <w:rsid w:val="008B75CE"/>
    <w:rsid w:val="008B773C"/>
    <w:rsid w:val="008B778A"/>
    <w:rsid w:val="008B79ED"/>
    <w:rsid w:val="008C09BD"/>
    <w:rsid w:val="008C0DD4"/>
    <w:rsid w:val="008C10E1"/>
    <w:rsid w:val="008C2AC4"/>
    <w:rsid w:val="008C486F"/>
    <w:rsid w:val="008C4A1B"/>
    <w:rsid w:val="008C5566"/>
    <w:rsid w:val="008C5882"/>
    <w:rsid w:val="008C5D50"/>
    <w:rsid w:val="008C5E06"/>
    <w:rsid w:val="008C6116"/>
    <w:rsid w:val="008C7212"/>
    <w:rsid w:val="008C75A0"/>
    <w:rsid w:val="008C78C4"/>
    <w:rsid w:val="008C7D99"/>
    <w:rsid w:val="008D0389"/>
    <w:rsid w:val="008D2662"/>
    <w:rsid w:val="008D2AC0"/>
    <w:rsid w:val="008D2BE6"/>
    <w:rsid w:val="008D39A1"/>
    <w:rsid w:val="008D3E8F"/>
    <w:rsid w:val="008D4091"/>
    <w:rsid w:val="008D4344"/>
    <w:rsid w:val="008D54FB"/>
    <w:rsid w:val="008D571F"/>
    <w:rsid w:val="008D6941"/>
    <w:rsid w:val="008D6F54"/>
    <w:rsid w:val="008D7E4A"/>
    <w:rsid w:val="008E1B57"/>
    <w:rsid w:val="008E2252"/>
    <w:rsid w:val="008E32E9"/>
    <w:rsid w:val="008E3555"/>
    <w:rsid w:val="008E3B38"/>
    <w:rsid w:val="008E3FD6"/>
    <w:rsid w:val="008E4146"/>
    <w:rsid w:val="008E41CB"/>
    <w:rsid w:val="008E45EF"/>
    <w:rsid w:val="008E6C4A"/>
    <w:rsid w:val="008F01EE"/>
    <w:rsid w:val="008F02C8"/>
    <w:rsid w:val="008F1763"/>
    <w:rsid w:val="008F27A3"/>
    <w:rsid w:val="008F2F9A"/>
    <w:rsid w:val="008F30CB"/>
    <w:rsid w:val="008F3A6A"/>
    <w:rsid w:val="008F45BD"/>
    <w:rsid w:val="008F4655"/>
    <w:rsid w:val="008F46E2"/>
    <w:rsid w:val="008F5662"/>
    <w:rsid w:val="008F5B86"/>
    <w:rsid w:val="008F6163"/>
    <w:rsid w:val="008F6248"/>
    <w:rsid w:val="008F6387"/>
    <w:rsid w:val="008F6736"/>
    <w:rsid w:val="00900428"/>
    <w:rsid w:val="0090186E"/>
    <w:rsid w:val="009019AB"/>
    <w:rsid w:val="00901B0D"/>
    <w:rsid w:val="00901C49"/>
    <w:rsid w:val="00901FEC"/>
    <w:rsid w:val="009027B8"/>
    <w:rsid w:val="00903AF6"/>
    <w:rsid w:val="00903F22"/>
    <w:rsid w:val="0090432B"/>
    <w:rsid w:val="009047F4"/>
    <w:rsid w:val="00904A50"/>
    <w:rsid w:val="0090612F"/>
    <w:rsid w:val="009065B1"/>
    <w:rsid w:val="009066B2"/>
    <w:rsid w:val="00906717"/>
    <w:rsid w:val="00907B0B"/>
    <w:rsid w:val="00911D0A"/>
    <w:rsid w:val="00911FC9"/>
    <w:rsid w:val="00913BFF"/>
    <w:rsid w:val="00916C57"/>
    <w:rsid w:val="009172F2"/>
    <w:rsid w:val="00917D41"/>
    <w:rsid w:val="009204CB"/>
    <w:rsid w:val="00920942"/>
    <w:rsid w:val="00920BDD"/>
    <w:rsid w:val="0092125D"/>
    <w:rsid w:val="0092224D"/>
    <w:rsid w:val="00922704"/>
    <w:rsid w:val="0092313D"/>
    <w:rsid w:val="00923B27"/>
    <w:rsid w:val="009251BC"/>
    <w:rsid w:val="00925605"/>
    <w:rsid w:val="00925D72"/>
    <w:rsid w:val="0092689B"/>
    <w:rsid w:val="00926989"/>
    <w:rsid w:val="00926F0F"/>
    <w:rsid w:val="00927859"/>
    <w:rsid w:val="009301CC"/>
    <w:rsid w:val="00930544"/>
    <w:rsid w:val="00931F33"/>
    <w:rsid w:val="0093462A"/>
    <w:rsid w:val="009358F6"/>
    <w:rsid w:val="00935BBC"/>
    <w:rsid w:val="00935BC4"/>
    <w:rsid w:val="00936A7C"/>
    <w:rsid w:val="00937616"/>
    <w:rsid w:val="00937889"/>
    <w:rsid w:val="00937FEE"/>
    <w:rsid w:val="00940D56"/>
    <w:rsid w:val="0094154D"/>
    <w:rsid w:val="009417CF"/>
    <w:rsid w:val="00942784"/>
    <w:rsid w:val="00942973"/>
    <w:rsid w:val="00942BA2"/>
    <w:rsid w:val="00942F3C"/>
    <w:rsid w:val="00944DF8"/>
    <w:rsid w:val="00944F3B"/>
    <w:rsid w:val="009457F6"/>
    <w:rsid w:val="00945931"/>
    <w:rsid w:val="00945946"/>
    <w:rsid w:val="00945CB1"/>
    <w:rsid w:val="00946811"/>
    <w:rsid w:val="00946B93"/>
    <w:rsid w:val="00946EF5"/>
    <w:rsid w:val="0094765D"/>
    <w:rsid w:val="0095076B"/>
    <w:rsid w:val="009512D8"/>
    <w:rsid w:val="00952107"/>
    <w:rsid w:val="00952A36"/>
    <w:rsid w:val="00952CE2"/>
    <w:rsid w:val="00952F6A"/>
    <w:rsid w:val="009532F1"/>
    <w:rsid w:val="009536CB"/>
    <w:rsid w:val="0095449E"/>
    <w:rsid w:val="00954B3F"/>
    <w:rsid w:val="00955585"/>
    <w:rsid w:val="00956022"/>
    <w:rsid w:val="0095622F"/>
    <w:rsid w:val="0095653C"/>
    <w:rsid w:val="00956673"/>
    <w:rsid w:val="009566D2"/>
    <w:rsid w:val="00956C77"/>
    <w:rsid w:val="00957249"/>
    <w:rsid w:val="009579A7"/>
    <w:rsid w:val="00961D5D"/>
    <w:rsid w:val="00961F33"/>
    <w:rsid w:val="00962699"/>
    <w:rsid w:val="0096517F"/>
    <w:rsid w:val="0096545B"/>
    <w:rsid w:val="009655DB"/>
    <w:rsid w:val="0096578D"/>
    <w:rsid w:val="00966FB5"/>
    <w:rsid w:val="009706BE"/>
    <w:rsid w:val="00970C88"/>
    <w:rsid w:val="00970F8E"/>
    <w:rsid w:val="0097136E"/>
    <w:rsid w:val="00972497"/>
    <w:rsid w:val="00972677"/>
    <w:rsid w:val="009728D6"/>
    <w:rsid w:val="00972A6F"/>
    <w:rsid w:val="00973267"/>
    <w:rsid w:val="0097391D"/>
    <w:rsid w:val="009742C7"/>
    <w:rsid w:val="00974301"/>
    <w:rsid w:val="00974AE0"/>
    <w:rsid w:val="00974CAB"/>
    <w:rsid w:val="00975206"/>
    <w:rsid w:val="0097576B"/>
    <w:rsid w:val="0097591B"/>
    <w:rsid w:val="0097623E"/>
    <w:rsid w:val="00977149"/>
    <w:rsid w:val="00977EAB"/>
    <w:rsid w:val="009806D0"/>
    <w:rsid w:val="00980861"/>
    <w:rsid w:val="00982272"/>
    <w:rsid w:val="009826D1"/>
    <w:rsid w:val="00982C01"/>
    <w:rsid w:val="00984FF5"/>
    <w:rsid w:val="00985221"/>
    <w:rsid w:val="00985FC6"/>
    <w:rsid w:val="00985FD1"/>
    <w:rsid w:val="009861D4"/>
    <w:rsid w:val="009866B5"/>
    <w:rsid w:val="00987579"/>
    <w:rsid w:val="0099046E"/>
    <w:rsid w:val="009906CC"/>
    <w:rsid w:val="00990C85"/>
    <w:rsid w:val="0099211D"/>
    <w:rsid w:val="009921EF"/>
    <w:rsid w:val="0099241A"/>
    <w:rsid w:val="009947F7"/>
    <w:rsid w:val="009A0520"/>
    <w:rsid w:val="009A1856"/>
    <w:rsid w:val="009A1D8E"/>
    <w:rsid w:val="009A2BA2"/>
    <w:rsid w:val="009A2DA3"/>
    <w:rsid w:val="009A2EE1"/>
    <w:rsid w:val="009A2FC5"/>
    <w:rsid w:val="009A3F39"/>
    <w:rsid w:val="009A45E4"/>
    <w:rsid w:val="009A5341"/>
    <w:rsid w:val="009A559C"/>
    <w:rsid w:val="009A5987"/>
    <w:rsid w:val="009A5B60"/>
    <w:rsid w:val="009A60C6"/>
    <w:rsid w:val="009A7C14"/>
    <w:rsid w:val="009B0374"/>
    <w:rsid w:val="009B06C3"/>
    <w:rsid w:val="009B0D8A"/>
    <w:rsid w:val="009B120D"/>
    <w:rsid w:val="009B18C4"/>
    <w:rsid w:val="009B1BBE"/>
    <w:rsid w:val="009B2222"/>
    <w:rsid w:val="009B2C87"/>
    <w:rsid w:val="009B36BC"/>
    <w:rsid w:val="009B39FC"/>
    <w:rsid w:val="009B4136"/>
    <w:rsid w:val="009B4EA5"/>
    <w:rsid w:val="009B52C7"/>
    <w:rsid w:val="009B5EC4"/>
    <w:rsid w:val="009B6ACE"/>
    <w:rsid w:val="009B6B54"/>
    <w:rsid w:val="009B6E24"/>
    <w:rsid w:val="009B7752"/>
    <w:rsid w:val="009B781B"/>
    <w:rsid w:val="009B7FB7"/>
    <w:rsid w:val="009C00CF"/>
    <w:rsid w:val="009C25EF"/>
    <w:rsid w:val="009C2D16"/>
    <w:rsid w:val="009C3AFC"/>
    <w:rsid w:val="009C3C7E"/>
    <w:rsid w:val="009C40BC"/>
    <w:rsid w:val="009C4546"/>
    <w:rsid w:val="009C45A8"/>
    <w:rsid w:val="009C4E26"/>
    <w:rsid w:val="009C5A3F"/>
    <w:rsid w:val="009C71D8"/>
    <w:rsid w:val="009C74EE"/>
    <w:rsid w:val="009C7F40"/>
    <w:rsid w:val="009D0431"/>
    <w:rsid w:val="009D0D0E"/>
    <w:rsid w:val="009D18C1"/>
    <w:rsid w:val="009D1A64"/>
    <w:rsid w:val="009D2103"/>
    <w:rsid w:val="009D2C30"/>
    <w:rsid w:val="009D2C88"/>
    <w:rsid w:val="009D30F5"/>
    <w:rsid w:val="009D32BA"/>
    <w:rsid w:val="009D3574"/>
    <w:rsid w:val="009D4391"/>
    <w:rsid w:val="009D5197"/>
    <w:rsid w:val="009D5261"/>
    <w:rsid w:val="009D5985"/>
    <w:rsid w:val="009D7B52"/>
    <w:rsid w:val="009E09D6"/>
    <w:rsid w:val="009E1986"/>
    <w:rsid w:val="009E3445"/>
    <w:rsid w:val="009E38A4"/>
    <w:rsid w:val="009E3F5E"/>
    <w:rsid w:val="009E4161"/>
    <w:rsid w:val="009E5F4A"/>
    <w:rsid w:val="009E6519"/>
    <w:rsid w:val="009E716D"/>
    <w:rsid w:val="009E77CA"/>
    <w:rsid w:val="009E782F"/>
    <w:rsid w:val="009E7E12"/>
    <w:rsid w:val="009F12DC"/>
    <w:rsid w:val="009F139A"/>
    <w:rsid w:val="009F1507"/>
    <w:rsid w:val="009F18E8"/>
    <w:rsid w:val="009F20CD"/>
    <w:rsid w:val="009F2821"/>
    <w:rsid w:val="009F49CF"/>
    <w:rsid w:val="009F4F07"/>
    <w:rsid w:val="009F5D26"/>
    <w:rsid w:val="009F6040"/>
    <w:rsid w:val="009F6B34"/>
    <w:rsid w:val="009F733E"/>
    <w:rsid w:val="009F7F21"/>
    <w:rsid w:val="00A00BF6"/>
    <w:rsid w:val="00A01789"/>
    <w:rsid w:val="00A017AE"/>
    <w:rsid w:val="00A01AE5"/>
    <w:rsid w:val="00A01DA5"/>
    <w:rsid w:val="00A020C9"/>
    <w:rsid w:val="00A0256B"/>
    <w:rsid w:val="00A03A3B"/>
    <w:rsid w:val="00A04509"/>
    <w:rsid w:val="00A046CC"/>
    <w:rsid w:val="00A04954"/>
    <w:rsid w:val="00A0631B"/>
    <w:rsid w:val="00A0645D"/>
    <w:rsid w:val="00A070C4"/>
    <w:rsid w:val="00A0790C"/>
    <w:rsid w:val="00A07F88"/>
    <w:rsid w:val="00A10031"/>
    <w:rsid w:val="00A104A8"/>
    <w:rsid w:val="00A109AE"/>
    <w:rsid w:val="00A10EC2"/>
    <w:rsid w:val="00A11C14"/>
    <w:rsid w:val="00A11E8E"/>
    <w:rsid w:val="00A1237E"/>
    <w:rsid w:val="00A12CC8"/>
    <w:rsid w:val="00A13CE3"/>
    <w:rsid w:val="00A143BF"/>
    <w:rsid w:val="00A145CA"/>
    <w:rsid w:val="00A148C7"/>
    <w:rsid w:val="00A14E36"/>
    <w:rsid w:val="00A152D5"/>
    <w:rsid w:val="00A15412"/>
    <w:rsid w:val="00A16310"/>
    <w:rsid w:val="00A16EFA"/>
    <w:rsid w:val="00A172F0"/>
    <w:rsid w:val="00A204B5"/>
    <w:rsid w:val="00A205DD"/>
    <w:rsid w:val="00A20CF5"/>
    <w:rsid w:val="00A20DBB"/>
    <w:rsid w:val="00A210D9"/>
    <w:rsid w:val="00A215CE"/>
    <w:rsid w:val="00A21CC7"/>
    <w:rsid w:val="00A22599"/>
    <w:rsid w:val="00A23A00"/>
    <w:rsid w:val="00A24FA2"/>
    <w:rsid w:val="00A25303"/>
    <w:rsid w:val="00A25EF8"/>
    <w:rsid w:val="00A260D1"/>
    <w:rsid w:val="00A2663C"/>
    <w:rsid w:val="00A26FFD"/>
    <w:rsid w:val="00A27F4C"/>
    <w:rsid w:val="00A30BD1"/>
    <w:rsid w:val="00A31054"/>
    <w:rsid w:val="00A3137E"/>
    <w:rsid w:val="00A33663"/>
    <w:rsid w:val="00A336E5"/>
    <w:rsid w:val="00A339AA"/>
    <w:rsid w:val="00A34E2C"/>
    <w:rsid w:val="00A35C9F"/>
    <w:rsid w:val="00A36F86"/>
    <w:rsid w:val="00A4047C"/>
    <w:rsid w:val="00A417C2"/>
    <w:rsid w:val="00A417F3"/>
    <w:rsid w:val="00A41F2F"/>
    <w:rsid w:val="00A4217A"/>
    <w:rsid w:val="00A426DF"/>
    <w:rsid w:val="00A42D53"/>
    <w:rsid w:val="00A43443"/>
    <w:rsid w:val="00A43A5D"/>
    <w:rsid w:val="00A43DA1"/>
    <w:rsid w:val="00A44071"/>
    <w:rsid w:val="00A441E8"/>
    <w:rsid w:val="00A44A46"/>
    <w:rsid w:val="00A44E35"/>
    <w:rsid w:val="00A454BC"/>
    <w:rsid w:val="00A475E9"/>
    <w:rsid w:val="00A52A96"/>
    <w:rsid w:val="00A53314"/>
    <w:rsid w:val="00A535B8"/>
    <w:rsid w:val="00A53923"/>
    <w:rsid w:val="00A54F22"/>
    <w:rsid w:val="00A55FB9"/>
    <w:rsid w:val="00A57166"/>
    <w:rsid w:val="00A57F71"/>
    <w:rsid w:val="00A6194F"/>
    <w:rsid w:val="00A619BA"/>
    <w:rsid w:val="00A62207"/>
    <w:rsid w:val="00A62323"/>
    <w:rsid w:val="00A62B61"/>
    <w:rsid w:val="00A63316"/>
    <w:rsid w:val="00A661A6"/>
    <w:rsid w:val="00A672ED"/>
    <w:rsid w:val="00A6792A"/>
    <w:rsid w:val="00A67ECE"/>
    <w:rsid w:val="00A71FD3"/>
    <w:rsid w:val="00A72254"/>
    <w:rsid w:val="00A722A0"/>
    <w:rsid w:val="00A7325B"/>
    <w:rsid w:val="00A732F4"/>
    <w:rsid w:val="00A736B5"/>
    <w:rsid w:val="00A73A70"/>
    <w:rsid w:val="00A73EFA"/>
    <w:rsid w:val="00A7458F"/>
    <w:rsid w:val="00A74891"/>
    <w:rsid w:val="00A756CC"/>
    <w:rsid w:val="00A7574F"/>
    <w:rsid w:val="00A7615C"/>
    <w:rsid w:val="00A77D3C"/>
    <w:rsid w:val="00A80097"/>
    <w:rsid w:val="00A8072C"/>
    <w:rsid w:val="00A8087F"/>
    <w:rsid w:val="00A80DC8"/>
    <w:rsid w:val="00A81C10"/>
    <w:rsid w:val="00A82BE1"/>
    <w:rsid w:val="00A85BF1"/>
    <w:rsid w:val="00A86826"/>
    <w:rsid w:val="00A87190"/>
    <w:rsid w:val="00A875E7"/>
    <w:rsid w:val="00A907CF"/>
    <w:rsid w:val="00A90EF1"/>
    <w:rsid w:val="00A90FC8"/>
    <w:rsid w:val="00A9192F"/>
    <w:rsid w:val="00A92786"/>
    <w:rsid w:val="00A92C5A"/>
    <w:rsid w:val="00A95353"/>
    <w:rsid w:val="00A95B44"/>
    <w:rsid w:val="00A96EA1"/>
    <w:rsid w:val="00A96F0B"/>
    <w:rsid w:val="00A97393"/>
    <w:rsid w:val="00AA0138"/>
    <w:rsid w:val="00AA02A8"/>
    <w:rsid w:val="00AA146E"/>
    <w:rsid w:val="00AA1DA7"/>
    <w:rsid w:val="00AA1F1A"/>
    <w:rsid w:val="00AA21D1"/>
    <w:rsid w:val="00AA22B9"/>
    <w:rsid w:val="00AA284D"/>
    <w:rsid w:val="00AA28D5"/>
    <w:rsid w:val="00AA290D"/>
    <w:rsid w:val="00AA3C7B"/>
    <w:rsid w:val="00AA4B5A"/>
    <w:rsid w:val="00AA5635"/>
    <w:rsid w:val="00AA6355"/>
    <w:rsid w:val="00AA793B"/>
    <w:rsid w:val="00AA798F"/>
    <w:rsid w:val="00AB1CE1"/>
    <w:rsid w:val="00AB1E4F"/>
    <w:rsid w:val="00AB4506"/>
    <w:rsid w:val="00AB47D2"/>
    <w:rsid w:val="00AB4853"/>
    <w:rsid w:val="00AB48BA"/>
    <w:rsid w:val="00AB4E70"/>
    <w:rsid w:val="00AB5159"/>
    <w:rsid w:val="00AB5896"/>
    <w:rsid w:val="00AB7A66"/>
    <w:rsid w:val="00AC04F0"/>
    <w:rsid w:val="00AC0C61"/>
    <w:rsid w:val="00AC1787"/>
    <w:rsid w:val="00AC1E64"/>
    <w:rsid w:val="00AC1F2A"/>
    <w:rsid w:val="00AC234E"/>
    <w:rsid w:val="00AC3098"/>
    <w:rsid w:val="00AC35E6"/>
    <w:rsid w:val="00AC3A98"/>
    <w:rsid w:val="00AC3D0D"/>
    <w:rsid w:val="00AC5686"/>
    <w:rsid w:val="00AC63F1"/>
    <w:rsid w:val="00AC6E22"/>
    <w:rsid w:val="00AC7A4C"/>
    <w:rsid w:val="00AD0561"/>
    <w:rsid w:val="00AD0AD5"/>
    <w:rsid w:val="00AD0B79"/>
    <w:rsid w:val="00AD1C25"/>
    <w:rsid w:val="00AD37A1"/>
    <w:rsid w:val="00AD3CD4"/>
    <w:rsid w:val="00AD485F"/>
    <w:rsid w:val="00AD4C88"/>
    <w:rsid w:val="00AD4D98"/>
    <w:rsid w:val="00AD5575"/>
    <w:rsid w:val="00AD578D"/>
    <w:rsid w:val="00AD5948"/>
    <w:rsid w:val="00AD5EB5"/>
    <w:rsid w:val="00AD603D"/>
    <w:rsid w:val="00AD79AD"/>
    <w:rsid w:val="00AE0D8B"/>
    <w:rsid w:val="00AE138A"/>
    <w:rsid w:val="00AE1B99"/>
    <w:rsid w:val="00AE2123"/>
    <w:rsid w:val="00AE2514"/>
    <w:rsid w:val="00AE2541"/>
    <w:rsid w:val="00AE29A4"/>
    <w:rsid w:val="00AE2E47"/>
    <w:rsid w:val="00AE4435"/>
    <w:rsid w:val="00AE447A"/>
    <w:rsid w:val="00AE474C"/>
    <w:rsid w:val="00AE48BB"/>
    <w:rsid w:val="00AE4AFE"/>
    <w:rsid w:val="00AE4C9D"/>
    <w:rsid w:val="00AE5A1F"/>
    <w:rsid w:val="00AE73A5"/>
    <w:rsid w:val="00AE7511"/>
    <w:rsid w:val="00AF0CB0"/>
    <w:rsid w:val="00AF1BA2"/>
    <w:rsid w:val="00AF2552"/>
    <w:rsid w:val="00AF2DB6"/>
    <w:rsid w:val="00AF3090"/>
    <w:rsid w:val="00AF3173"/>
    <w:rsid w:val="00AF33C7"/>
    <w:rsid w:val="00AF4EC5"/>
    <w:rsid w:val="00AF5758"/>
    <w:rsid w:val="00AF6F72"/>
    <w:rsid w:val="00AF78CF"/>
    <w:rsid w:val="00AF7A3D"/>
    <w:rsid w:val="00B00C6F"/>
    <w:rsid w:val="00B0159C"/>
    <w:rsid w:val="00B01E35"/>
    <w:rsid w:val="00B027C5"/>
    <w:rsid w:val="00B02ED0"/>
    <w:rsid w:val="00B03DAD"/>
    <w:rsid w:val="00B04307"/>
    <w:rsid w:val="00B04F35"/>
    <w:rsid w:val="00B05633"/>
    <w:rsid w:val="00B06B45"/>
    <w:rsid w:val="00B06C44"/>
    <w:rsid w:val="00B06DC9"/>
    <w:rsid w:val="00B06E2B"/>
    <w:rsid w:val="00B107CC"/>
    <w:rsid w:val="00B1239B"/>
    <w:rsid w:val="00B12D81"/>
    <w:rsid w:val="00B12E0F"/>
    <w:rsid w:val="00B13E33"/>
    <w:rsid w:val="00B155B7"/>
    <w:rsid w:val="00B155C7"/>
    <w:rsid w:val="00B15DD4"/>
    <w:rsid w:val="00B1649E"/>
    <w:rsid w:val="00B170DE"/>
    <w:rsid w:val="00B17C8E"/>
    <w:rsid w:val="00B20160"/>
    <w:rsid w:val="00B201AD"/>
    <w:rsid w:val="00B20CC8"/>
    <w:rsid w:val="00B21513"/>
    <w:rsid w:val="00B21957"/>
    <w:rsid w:val="00B23124"/>
    <w:rsid w:val="00B23858"/>
    <w:rsid w:val="00B24EC0"/>
    <w:rsid w:val="00B265FF"/>
    <w:rsid w:val="00B2784B"/>
    <w:rsid w:val="00B27C4A"/>
    <w:rsid w:val="00B27CB4"/>
    <w:rsid w:val="00B30D8D"/>
    <w:rsid w:val="00B322BE"/>
    <w:rsid w:val="00B32E0C"/>
    <w:rsid w:val="00B342D4"/>
    <w:rsid w:val="00B3469C"/>
    <w:rsid w:val="00B349EA"/>
    <w:rsid w:val="00B34D4D"/>
    <w:rsid w:val="00B35192"/>
    <w:rsid w:val="00B353B6"/>
    <w:rsid w:val="00B35AD8"/>
    <w:rsid w:val="00B370D9"/>
    <w:rsid w:val="00B37AB8"/>
    <w:rsid w:val="00B4007F"/>
    <w:rsid w:val="00B40091"/>
    <w:rsid w:val="00B406D8"/>
    <w:rsid w:val="00B40ABA"/>
    <w:rsid w:val="00B40D91"/>
    <w:rsid w:val="00B4184E"/>
    <w:rsid w:val="00B41A6F"/>
    <w:rsid w:val="00B41BF3"/>
    <w:rsid w:val="00B426BB"/>
    <w:rsid w:val="00B42721"/>
    <w:rsid w:val="00B4288D"/>
    <w:rsid w:val="00B42E5A"/>
    <w:rsid w:val="00B4397D"/>
    <w:rsid w:val="00B45ECE"/>
    <w:rsid w:val="00B46664"/>
    <w:rsid w:val="00B46A77"/>
    <w:rsid w:val="00B47754"/>
    <w:rsid w:val="00B47B84"/>
    <w:rsid w:val="00B47BBD"/>
    <w:rsid w:val="00B506E3"/>
    <w:rsid w:val="00B50E21"/>
    <w:rsid w:val="00B51943"/>
    <w:rsid w:val="00B519FD"/>
    <w:rsid w:val="00B52593"/>
    <w:rsid w:val="00B52BC3"/>
    <w:rsid w:val="00B54633"/>
    <w:rsid w:val="00B554FD"/>
    <w:rsid w:val="00B55905"/>
    <w:rsid w:val="00B56CD7"/>
    <w:rsid w:val="00B57BE8"/>
    <w:rsid w:val="00B6099A"/>
    <w:rsid w:val="00B60DE2"/>
    <w:rsid w:val="00B612E7"/>
    <w:rsid w:val="00B61AF4"/>
    <w:rsid w:val="00B62214"/>
    <w:rsid w:val="00B62C42"/>
    <w:rsid w:val="00B63FFD"/>
    <w:rsid w:val="00B65493"/>
    <w:rsid w:val="00B65A31"/>
    <w:rsid w:val="00B66371"/>
    <w:rsid w:val="00B665DA"/>
    <w:rsid w:val="00B666F0"/>
    <w:rsid w:val="00B6775C"/>
    <w:rsid w:val="00B67BBD"/>
    <w:rsid w:val="00B67CCD"/>
    <w:rsid w:val="00B70AFD"/>
    <w:rsid w:val="00B70B9E"/>
    <w:rsid w:val="00B7120E"/>
    <w:rsid w:val="00B74867"/>
    <w:rsid w:val="00B75320"/>
    <w:rsid w:val="00B753A3"/>
    <w:rsid w:val="00B756AE"/>
    <w:rsid w:val="00B75DD9"/>
    <w:rsid w:val="00B75EF3"/>
    <w:rsid w:val="00B76B5F"/>
    <w:rsid w:val="00B7780D"/>
    <w:rsid w:val="00B77B0D"/>
    <w:rsid w:val="00B8000B"/>
    <w:rsid w:val="00B80A1C"/>
    <w:rsid w:val="00B80C88"/>
    <w:rsid w:val="00B81D87"/>
    <w:rsid w:val="00B82914"/>
    <w:rsid w:val="00B83BFD"/>
    <w:rsid w:val="00B84109"/>
    <w:rsid w:val="00B85648"/>
    <w:rsid w:val="00B869FC"/>
    <w:rsid w:val="00B87CA9"/>
    <w:rsid w:val="00B91757"/>
    <w:rsid w:val="00B917C5"/>
    <w:rsid w:val="00B9209D"/>
    <w:rsid w:val="00B92147"/>
    <w:rsid w:val="00B92ED2"/>
    <w:rsid w:val="00B934CF"/>
    <w:rsid w:val="00B9452D"/>
    <w:rsid w:val="00B94896"/>
    <w:rsid w:val="00B94EF5"/>
    <w:rsid w:val="00B94EF7"/>
    <w:rsid w:val="00B951DE"/>
    <w:rsid w:val="00B956AD"/>
    <w:rsid w:val="00B961CA"/>
    <w:rsid w:val="00B96531"/>
    <w:rsid w:val="00B97129"/>
    <w:rsid w:val="00B97563"/>
    <w:rsid w:val="00B97AAE"/>
    <w:rsid w:val="00B97CDD"/>
    <w:rsid w:val="00B97F0C"/>
    <w:rsid w:val="00BA0C24"/>
    <w:rsid w:val="00BA16D5"/>
    <w:rsid w:val="00BA1B05"/>
    <w:rsid w:val="00BA1EEE"/>
    <w:rsid w:val="00BA1F7C"/>
    <w:rsid w:val="00BA2266"/>
    <w:rsid w:val="00BA2926"/>
    <w:rsid w:val="00BA3F02"/>
    <w:rsid w:val="00BA3FC6"/>
    <w:rsid w:val="00BA557D"/>
    <w:rsid w:val="00BA6A39"/>
    <w:rsid w:val="00BA7CDE"/>
    <w:rsid w:val="00BA7F73"/>
    <w:rsid w:val="00BB33A1"/>
    <w:rsid w:val="00BB3709"/>
    <w:rsid w:val="00BB3CA2"/>
    <w:rsid w:val="00BB43E9"/>
    <w:rsid w:val="00BB57E7"/>
    <w:rsid w:val="00BB60F9"/>
    <w:rsid w:val="00BB6362"/>
    <w:rsid w:val="00BB677A"/>
    <w:rsid w:val="00BB6F55"/>
    <w:rsid w:val="00BB737F"/>
    <w:rsid w:val="00BB77FE"/>
    <w:rsid w:val="00BC049A"/>
    <w:rsid w:val="00BC08DF"/>
    <w:rsid w:val="00BC1200"/>
    <w:rsid w:val="00BC1A59"/>
    <w:rsid w:val="00BC1B49"/>
    <w:rsid w:val="00BC2B8C"/>
    <w:rsid w:val="00BC3301"/>
    <w:rsid w:val="00BC3D47"/>
    <w:rsid w:val="00BC47A9"/>
    <w:rsid w:val="00BC4A5C"/>
    <w:rsid w:val="00BC4B19"/>
    <w:rsid w:val="00BC5852"/>
    <w:rsid w:val="00BC5E07"/>
    <w:rsid w:val="00BC6823"/>
    <w:rsid w:val="00BC71BD"/>
    <w:rsid w:val="00BD1564"/>
    <w:rsid w:val="00BD2AB4"/>
    <w:rsid w:val="00BD2BD6"/>
    <w:rsid w:val="00BD4063"/>
    <w:rsid w:val="00BD4D24"/>
    <w:rsid w:val="00BD50C2"/>
    <w:rsid w:val="00BD60AE"/>
    <w:rsid w:val="00BD648F"/>
    <w:rsid w:val="00BD7237"/>
    <w:rsid w:val="00BD7D71"/>
    <w:rsid w:val="00BE01D1"/>
    <w:rsid w:val="00BE078E"/>
    <w:rsid w:val="00BE0826"/>
    <w:rsid w:val="00BE0D14"/>
    <w:rsid w:val="00BE117C"/>
    <w:rsid w:val="00BE1D14"/>
    <w:rsid w:val="00BE26B5"/>
    <w:rsid w:val="00BE3EB9"/>
    <w:rsid w:val="00BE4125"/>
    <w:rsid w:val="00BE4376"/>
    <w:rsid w:val="00BE55C2"/>
    <w:rsid w:val="00BE5CF3"/>
    <w:rsid w:val="00BE69E0"/>
    <w:rsid w:val="00BE6A25"/>
    <w:rsid w:val="00BE6A7C"/>
    <w:rsid w:val="00BE6BAD"/>
    <w:rsid w:val="00BE7DE3"/>
    <w:rsid w:val="00BF0FC9"/>
    <w:rsid w:val="00BF2563"/>
    <w:rsid w:val="00BF2BD7"/>
    <w:rsid w:val="00BF38CF"/>
    <w:rsid w:val="00BF3F8B"/>
    <w:rsid w:val="00BF5A03"/>
    <w:rsid w:val="00BF6386"/>
    <w:rsid w:val="00BF6891"/>
    <w:rsid w:val="00BF719A"/>
    <w:rsid w:val="00BF71EC"/>
    <w:rsid w:val="00BF72AD"/>
    <w:rsid w:val="00BF789C"/>
    <w:rsid w:val="00BF7C2E"/>
    <w:rsid w:val="00C00618"/>
    <w:rsid w:val="00C0156A"/>
    <w:rsid w:val="00C016C6"/>
    <w:rsid w:val="00C0203C"/>
    <w:rsid w:val="00C03580"/>
    <w:rsid w:val="00C039B0"/>
    <w:rsid w:val="00C03EBB"/>
    <w:rsid w:val="00C04E54"/>
    <w:rsid w:val="00C0516F"/>
    <w:rsid w:val="00C06E35"/>
    <w:rsid w:val="00C06FA2"/>
    <w:rsid w:val="00C07002"/>
    <w:rsid w:val="00C077AD"/>
    <w:rsid w:val="00C07FCB"/>
    <w:rsid w:val="00C10E65"/>
    <w:rsid w:val="00C11361"/>
    <w:rsid w:val="00C1170E"/>
    <w:rsid w:val="00C11A22"/>
    <w:rsid w:val="00C124B1"/>
    <w:rsid w:val="00C12888"/>
    <w:rsid w:val="00C13ACC"/>
    <w:rsid w:val="00C13EAC"/>
    <w:rsid w:val="00C158F7"/>
    <w:rsid w:val="00C15FF8"/>
    <w:rsid w:val="00C16BCE"/>
    <w:rsid w:val="00C16E09"/>
    <w:rsid w:val="00C173E2"/>
    <w:rsid w:val="00C20F61"/>
    <w:rsid w:val="00C21595"/>
    <w:rsid w:val="00C22960"/>
    <w:rsid w:val="00C22DF8"/>
    <w:rsid w:val="00C2363B"/>
    <w:rsid w:val="00C24ABE"/>
    <w:rsid w:val="00C24F6E"/>
    <w:rsid w:val="00C260EC"/>
    <w:rsid w:val="00C27C97"/>
    <w:rsid w:val="00C308A2"/>
    <w:rsid w:val="00C30AA4"/>
    <w:rsid w:val="00C30CB0"/>
    <w:rsid w:val="00C319E1"/>
    <w:rsid w:val="00C3201B"/>
    <w:rsid w:val="00C32072"/>
    <w:rsid w:val="00C325F6"/>
    <w:rsid w:val="00C33E0F"/>
    <w:rsid w:val="00C33FBC"/>
    <w:rsid w:val="00C34ED5"/>
    <w:rsid w:val="00C3530E"/>
    <w:rsid w:val="00C36815"/>
    <w:rsid w:val="00C379CA"/>
    <w:rsid w:val="00C379CE"/>
    <w:rsid w:val="00C37A50"/>
    <w:rsid w:val="00C40413"/>
    <w:rsid w:val="00C43C37"/>
    <w:rsid w:val="00C449F8"/>
    <w:rsid w:val="00C44CB7"/>
    <w:rsid w:val="00C44D87"/>
    <w:rsid w:val="00C451CC"/>
    <w:rsid w:val="00C4560C"/>
    <w:rsid w:val="00C45B92"/>
    <w:rsid w:val="00C4626E"/>
    <w:rsid w:val="00C47572"/>
    <w:rsid w:val="00C47805"/>
    <w:rsid w:val="00C47A28"/>
    <w:rsid w:val="00C47C37"/>
    <w:rsid w:val="00C47ED5"/>
    <w:rsid w:val="00C5007F"/>
    <w:rsid w:val="00C50931"/>
    <w:rsid w:val="00C50A12"/>
    <w:rsid w:val="00C50ED1"/>
    <w:rsid w:val="00C5107A"/>
    <w:rsid w:val="00C516A3"/>
    <w:rsid w:val="00C52093"/>
    <w:rsid w:val="00C54450"/>
    <w:rsid w:val="00C54E98"/>
    <w:rsid w:val="00C5563F"/>
    <w:rsid w:val="00C55FBC"/>
    <w:rsid w:val="00C56329"/>
    <w:rsid w:val="00C5708C"/>
    <w:rsid w:val="00C57300"/>
    <w:rsid w:val="00C573EC"/>
    <w:rsid w:val="00C57BCF"/>
    <w:rsid w:val="00C603E1"/>
    <w:rsid w:val="00C62FA0"/>
    <w:rsid w:val="00C63AC1"/>
    <w:rsid w:val="00C63CA7"/>
    <w:rsid w:val="00C647A8"/>
    <w:rsid w:val="00C64E5C"/>
    <w:rsid w:val="00C65F49"/>
    <w:rsid w:val="00C6617B"/>
    <w:rsid w:val="00C674D2"/>
    <w:rsid w:val="00C67765"/>
    <w:rsid w:val="00C67E2D"/>
    <w:rsid w:val="00C67F67"/>
    <w:rsid w:val="00C67F6C"/>
    <w:rsid w:val="00C705A2"/>
    <w:rsid w:val="00C70AC3"/>
    <w:rsid w:val="00C70AFB"/>
    <w:rsid w:val="00C71E90"/>
    <w:rsid w:val="00C72C5F"/>
    <w:rsid w:val="00C72F14"/>
    <w:rsid w:val="00C73DF5"/>
    <w:rsid w:val="00C750BB"/>
    <w:rsid w:val="00C753F2"/>
    <w:rsid w:val="00C754AA"/>
    <w:rsid w:val="00C757DD"/>
    <w:rsid w:val="00C759E4"/>
    <w:rsid w:val="00C75CB7"/>
    <w:rsid w:val="00C769CA"/>
    <w:rsid w:val="00C769E2"/>
    <w:rsid w:val="00C777DF"/>
    <w:rsid w:val="00C8089C"/>
    <w:rsid w:val="00C81032"/>
    <w:rsid w:val="00C821F1"/>
    <w:rsid w:val="00C82E8A"/>
    <w:rsid w:val="00C83853"/>
    <w:rsid w:val="00C8386C"/>
    <w:rsid w:val="00C83BCD"/>
    <w:rsid w:val="00C8428C"/>
    <w:rsid w:val="00C85297"/>
    <w:rsid w:val="00C8566D"/>
    <w:rsid w:val="00C86659"/>
    <w:rsid w:val="00C871CA"/>
    <w:rsid w:val="00C90481"/>
    <w:rsid w:val="00C90D83"/>
    <w:rsid w:val="00C90FE3"/>
    <w:rsid w:val="00C9126E"/>
    <w:rsid w:val="00C91581"/>
    <w:rsid w:val="00C9165C"/>
    <w:rsid w:val="00C92263"/>
    <w:rsid w:val="00C9274E"/>
    <w:rsid w:val="00C92B18"/>
    <w:rsid w:val="00C92D48"/>
    <w:rsid w:val="00C93290"/>
    <w:rsid w:val="00C952EB"/>
    <w:rsid w:val="00C95F57"/>
    <w:rsid w:val="00C961BB"/>
    <w:rsid w:val="00C96BC2"/>
    <w:rsid w:val="00C979FE"/>
    <w:rsid w:val="00C97B9E"/>
    <w:rsid w:val="00C97E28"/>
    <w:rsid w:val="00CA0FCB"/>
    <w:rsid w:val="00CA0FDE"/>
    <w:rsid w:val="00CA1C39"/>
    <w:rsid w:val="00CA2D1C"/>
    <w:rsid w:val="00CA2E65"/>
    <w:rsid w:val="00CA3BF9"/>
    <w:rsid w:val="00CA3D4E"/>
    <w:rsid w:val="00CA406E"/>
    <w:rsid w:val="00CA44F9"/>
    <w:rsid w:val="00CA5E21"/>
    <w:rsid w:val="00CA7144"/>
    <w:rsid w:val="00CA78DB"/>
    <w:rsid w:val="00CB004F"/>
    <w:rsid w:val="00CB0542"/>
    <w:rsid w:val="00CB08A5"/>
    <w:rsid w:val="00CB15E3"/>
    <w:rsid w:val="00CB1967"/>
    <w:rsid w:val="00CB35FB"/>
    <w:rsid w:val="00CB42B9"/>
    <w:rsid w:val="00CB42C9"/>
    <w:rsid w:val="00CB4933"/>
    <w:rsid w:val="00CB57ED"/>
    <w:rsid w:val="00CB5C13"/>
    <w:rsid w:val="00CB6360"/>
    <w:rsid w:val="00CB70AB"/>
    <w:rsid w:val="00CC0E8D"/>
    <w:rsid w:val="00CC1380"/>
    <w:rsid w:val="00CC2206"/>
    <w:rsid w:val="00CC27ED"/>
    <w:rsid w:val="00CC2815"/>
    <w:rsid w:val="00CC2A55"/>
    <w:rsid w:val="00CC2EAC"/>
    <w:rsid w:val="00CC33A3"/>
    <w:rsid w:val="00CC4D44"/>
    <w:rsid w:val="00CC5173"/>
    <w:rsid w:val="00CC58E2"/>
    <w:rsid w:val="00CC73D0"/>
    <w:rsid w:val="00CC7642"/>
    <w:rsid w:val="00CD1068"/>
    <w:rsid w:val="00CD196A"/>
    <w:rsid w:val="00CD1BBA"/>
    <w:rsid w:val="00CD277B"/>
    <w:rsid w:val="00CD27C3"/>
    <w:rsid w:val="00CD30E4"/>
    <w:rsid w:val="00CD34F8"/>
    <w:rsid w:val="00CD35D9"/>
    <w:rsid w:val="00CD45C7"/>
    <w:rsid w:val="00CD6643"/>
    <w:rsid w:val="00CD698E"/>
    <w:rsid w:val="00CD6B0D"/>
    <w:rsid w:val="00CD6E29"/>
    <w:rsid w:val="00CD6FB0"/>
    <w:rsid w:val="00CD7940"/>
    <w:rsid w:val="00CE0267"/>
    <w:rsid w:val="00CE0FE9"/>
    <w:rsid w:val="00CE14F6"/>
    <w:rsid w:val="00CE2272"/>
    <w:rsid w:val="00CE2ABF"/>
    <w:rsid w:val="00CE35A0"/>
    <w:rsid w:val="00CE370F"/>
    <w:rsid w:val="00CE4882"/>
    <w:rsid w:val="00CE533E"/>
    <w:rsid w:val="00CE692E"/>
    <w:rsid w:val="00CE6B42"/>
    <w:rsid w:val="00CE741B"/>
    <w:rsid w:val="00CF12C1"/>
    <w:rsid w:val="00CF1C32"/>
    <w:rsid w:val="00CF30BC"/>
    <w:rsid w:val="00CF35E0"/>
    <w:rsid w:val="00CF522B"/>
    <w:rsid w:val="00CF5B00"/>
    <w:rsid w:val="00CF5B85"/>
    <w:rsid w:val="00CF5FA4"/>
    <w:rsid w:val="00CF64CB"/>
    <w:rsid w:val="00CF6BB4"/>
    <w:rsid w:val="00CF73B6"/>
    <w:rsid w:val="00CF796D"/>
    <w:rsid w:val="00CF7BCD"/>
    <w:rsid w:val="00D00149"/>
    <w:rsid w:val="00D00609"/>
    <w:rsid w:val="00D00B2F"/>
    <w:rsid w:val="00D00C79"/>
    <w:rsid w:val="00D00CEB"/>
    <w:rsid w:val="00D01272"/>
    <w:rsid w:val="00D0146F"/>
    <w:rsid w:val="00D014A8"/>
    <w:rsid w:val="00D01795"/>
    <w:rsid w:val="00D01A04"/>
    <w:rsid w:val="00D0323F"/>
    <w:rsid w:val="00D03409"/>
    <w:rsid w:val="00D0340A"/>
    <w:rsid w:val="00D03ADA"/>
    <w:rsid w:val="00D03AFD"/>
    <w:rsid w:val="00D04255"/>
    <w:rsid w:val="00D046E6"/>
    <w:rsid w:val="00D04898"/>
    <w:rsid w:val="00D04A66"/>
    <w:rsid w:val="00D04C6A"/>
    <w:rsid w:val="00D05C0B"/>
    <w:rsid w:val="00D063E7"/>
    <w:rsid w:val="00D06F91"/>
    <w:rsid w:val="00D07723"/>
    <w:rsid w:val="00D07E51"/>
    <w:rsid w:val="00D11FC4"/>
    <w:rsid w:val="00D12066"/>
    <w:rsid w:val="00D121B3"/>
    <w:rsid w:val="00D125D8"/>
    <w:rsid w:val="00D1301E"/>
    <w:rsid w:val="00D13925"/>
    <w:rsid w:val="00D1399B"/>
    <w:rsid w:val="00D13B45"/>
    <w:rsid w:val="00D14F6E"/>
    <w:rsid w:val="00D15237"/>
    <w:rsid w:val="00D15C49"/>
    <w:rsid w:val="00D1636F"/>
    <w:rsid w:val="00D2078F"/>
    <w:rsid w:val="00D20F29"/>
    <w:rsid w:val="00D21403"/>
    <w:rsid w:val="00D216BD"/>
    <w:rsid w:val="00D219AF"/>
    <w:rsid w:val="00D223BC"/>
    <w:rsid w:val="00D22EF2"/>
    <w:rsid w:val="00D235F4"/>
    <w:rsid w:val="00D2379F"/>
    <w:rsid w:val="00D23834"/>
    <w:rsid w:val="00D23873"/>
    <w:rsid w:val="00D2562C"/>
    <w:rsid w:val="00D25A49"/>
    <w:rsid w:val="00D26D3D"/>
    <w:rsid w:val="00D26E00"/>
    <w:rsid w:val="00D26EEB"/>
    <w:rsid w:val="00D270FE"/>
    <w:rsid w:val="00D27BDB"/>
    <w:rsid w:val="00D27D44"/>
    <w:rsid w:val="00D30B86"/>
    <w:rsid w:val="00D311AB"/>
    <w:rsid w:val="00D3123A"/>
    <w:rsid w:val="00D31551"/>
    <w:rsid w:val="00D316E0"/>
    <w:rsid w:val="00D31B10"/>
    <w:rsid w:val="00D32060"/>
    <w:rsid w:val="00D320B1"/>
    <w:rsid w:val="00D323D2"/>
    <w:rsid w:val="00D32993"/>
    <w:rsid w:val="00D33649"/>
    <w:rsid w:val="00D337CA"/>
    <w:rsid w:val="00D348A0"/>
    <w:rsid w:val="00D3498A"/>
    <w:rsid w:val="00D34991"/>
    <w:rsid w:val="00D34E9E"/>
    <w:rsid w:val="00D35509"/>
    <w:rsid w:val="00D360EE"/>
    <w:rsid w:val="00D37597"/>
    <w:rsid w:val="00D37F9B"/>
    <w:rsid w:val="00D40609"/>
    <w:rsid w:val="00D408A6"/>
    <w:rsid w:val="00D416DA"/>
    <w:rsid w:val="00D41A41"/>
    <w:rsid w:val="00D42889"/>
    <w:rsid w:val="00D43351"/>
    <w:rsid w:val="00D4364B"/>
    <w:rsid w:val="00D440C1"/>
    <w:rsid w:val="00D44538"/>
    <w:rsid w:val="00D4464E"/>
    <w:rsid w:val="00D45D72"/>
    <w:rsid w:val="00D45F46"/>
    <w:rsid w:val="00D4610F"/>
    <w:rsid w:val="00D50277"/>
    <w:rsid w:val="00D506DB"/>
    <w:rsid w:val="00D5201E"/>
    <w:rsid w:val="00D535F1"/>
    <w:rsid w:val="00D542A3"/>
    <w:rsid w:val="00D54955"/>
    <w:rsid w:val="00D54BCF"/>
    <w:rsid w:val="00D55F40"/>
    <w:rsid w:val="00D56740"/>
    <w:rsid w:val="00D5675A"/>
    <w:rsid w:val="00D56CE5"/>
    <w:rsid w:val="00D6205A"/>
    <w:rsid w:val="00D622C5"/>
    <w:rsid w:val="00D6274A"/>
    <w:rsid w:val="00D62CC3"/>
    <w:rsid w:val="00D65722"/>
    <w:rsid w:val="00D66B12"/>
    <w:rsid w:val="00D66CA0"/>
    <w:rsid w:val="00D677C1"/>
    <w:rsid w:val="00D67EDD"/>
    <w:rsid w:val="00D70956"/>
    <w:rsid w:val="00D70F5C"/>
    <w:rsid w:val="00D7168B"/>
    <w:rsid w:val="00D72DD6"/>
    <w:rsid w:val="00D737E8"/>
    <w:rsid w:val="00D75087"/>
    <w:rsid w:val="00D75A3F"/>
    <w:rsid w:val="00D7614A"/>
    <w:rsid w:val="00D762D9"/>
    <w:rsid w:val="00D7721A"/>
    <w:rsid w:val="00D7732C"/>
    <w:rsid w:val="00D7749D"/>
    <w:rsid w:val="00D775AC"/>
    <w:rsid w:val="00D775EC"/>
    <w:rsid w:val="00D77821"/>
    <w:rsid w:val="00D81198"/>
    <w:rsid w:val="00D814E9"/>
    <w:rsid w:val="00D81791"/>
    <w:rsid w:val="00D81B09"/>
    <w:rsid w:val="00D8321E"/>
    <w:rsid w:val="00D838AB"/>
    <w:rsid w:val="00D83E98"/>
    <w:rsid w:val="00D8467B"/>
    <w:rsid w:val="00D84720"/>
    <w:rsid w:val="00D851F7"/>
    <w:rsid w:val="00D852D7"/>
    <w:rsid w:val="00D8555E"/>
    <w:rsid w:val="00D86169"/>
    <w:rsid w:val="00D8639D"/>
    <w:rsid w:val="00D869AB"/>
    <w:rsid w:val="00D90365"/>
    <w:rsid w:val="00D9145D"/>
    <w:rsid w:val="00D92692"/>
    <w:rsid w:val="00D93629"/>
    <w:rsid w:val="00D93AFA"/>
    <w:rsid w:val="00D93C64"/>
    <w:rsid w:val="00D93E7A"/>
    <w:rsid w:val="00D94418"/>
    <w:rsid w:val="00D94595"/>
    <w:rsid w:val="00D94D4A"/>
    <w:rsid w:val="00D94E9D"/>
    <w:rsid w:val="00D9542D"/>
    <w:rsid w:val="00D955D7"/>
    <w:rsid w:val="00D96197"/>
    <w:rsid w:val="00DA17A9"/>
    <w:rsid w:val="00DA4985"/>
    <w:rsid w:val="00DA5390"/>
    <w:rsid w:val="00DA5A83"/>
    <w:rsid w:val="00DA5F2D"/>
    <w:rsid w:val="00DA67F6"/>
    <w:rsid w:val="00DA6B8E"/>
    <w:rsid w:val="00DA7106"/>
    <w:rsid w:val="00DA7346"/>
    <w:rsid w:val="00DB0089"/>
    <w:rsid w:val="00DB06A4"/>
    <w:rsid w:val="00DB184D"/>
    <w:rsid w:val="00DB1927"/>
    <w:rsid w:val="00DB2D15"/>
    <w:rsid w:val="00DB3967"/>
    <w:rsid w:val="00DB44BD"/>
    <w:rsid w:val="00DB47F2"/>
    <w:rsid w:val="00DB5BE9"/>
    <w:rsid w:val="00DB5C65"/>
    <w:rsid w:val="00DB5E59"/>
    <w:rsid w:val="00DB7279"/>
    <w:rsid w:val="00DB7946"/>
    <w:rsid w:val="00DC0FCC"/>
    <w:rsid w:val="00DC15B0"/>
    <w:rsid w:val="00DC181C"/>
    <w:rsid w:val="00DC193A"/>
    <w:rsid w:val="00DC25B3"/>
    <w:rsid w:val="00DC301D"/>
    <w:rsid w:val="00DC3575"/>
    <w:rsid w:val="00DC36D3"/>
    <w:rsid w:val="00DC37C1"/>
    <w:rsid w:val="00DC4557"/>
    <w:rsid w:val="00DC50BF"/>
    <w:rsid w:val="00DC57E9"/>
    <w:rsid w:val="00DC5890"/>
    <w:rsid w:val="00DC6236"/>
    <w:rsid w:val="00DC63C7"/>
    <w:rsid w:val="00DC64EA"/>
    <w:rsid w:val="00DC7920"/>
    <w:rsid w:val="00DC7F12"/>
    <w:rsid w:val="00DD0D83"/>
    <w:rsid w:val="00DD0E28"/>
    <w:rsid w:val="00DD0FB6"/>
    <w:rsid w:val="00DD10CA"/>
    <w:rsid w:val="00DD162A"/>
    <w:rsid w:val="00DD16C7"/>
    <w:rsid w:val="00DD21C8"/>
    <w:rsid w:val="00DD3826"/>
    <w:rsid w:val="00DD40CD"/>
    <w:rsid w:val="00DD42F5"/>
    <w:rsid w:val="00DD530D"/>
    <w:rsid w:val="00DD592D"/>
    <w:rsid w:val="00DD5AA3"/>
    <w:rsid w:val="00DD5E0F"/>
    <w:rsid w:val="00DD63AD"/>
    <w:rsid w:val="00DD6B4F"/>
    <w:rsid w:val="00DD6F90"/>
    <w:rsid w:val="00DD756F"/>
    <w:rsid w:val="00DE01FA"/>
    <w:rsid w:val="00DE1829"/>
    <w:rsid w:val="00DE1DF1"/>
    <w:rsid w:val="00DE276C"/>
    <w:rsid w:val="00DE2B1C"/>
    <w:rsid w:val="00DE3ED7"/>
    <w:rsid w:val="00DE465F"/>
    <w:rsid w:val="00DE4EEA"/>
    <w:rsid w:val="00DE57CD"/>
    <w:rsid w:val="00DE5870"/>
    <w:rsid w:val="00DE5B42"/>
    <w:rsid w:val="00DE602A"/>
    <w:rsid w:val="00DE64A2"/>
    <w:rsid w:val="00DE6A3D"/>
    <w:rsid w:val="00DE713B"/>
    <w:rsid w:val="00DF088B"/>
    <w:rsid w:val="00DF0D33"/>
    <w:rsid w:val="00DF0E8E"/>
    <w:rsid w:val="00DF105A"/>
    <w:rsid w:val="00DF1590"/>
    <w:rsid w:val="00DF2254"/>
    <w:rsid w:val="00DF24A5"/>
    <w:rsid w:val="00DF3E80"/>
    <w:rsid w:val="00DF416C"/>
    <w:rsid w:val="00DF5C09"/>
    <w:rsid w:val="00DF6052"/>
    <w:rsid w:val="00DF70D4"/>
    <w:rsid w:val="00DF72FA"/>
    <w:rsid w:val="00E001BE"/>
    <w:rsid w:val="00E014F5"/>
    <w:rsid w:val="00E0239E"/>
    <w:rsid w:val="00E0241B"/>
    <w:rsid w:val="00E042F0"/>
    <w:rsid w:val="00E04955"/>
    <w:rsid w:val="00E052C8"/>
    <w:rsid w:val="00E05D61"/>
    <w:rsid w:val="00E0674D"/>
    <w:rsid w:val="00E068B6"/>
    <w:rsid w:val="00E07466"/>
    <w:rsid w:val="00E07751"/>
    <w:rsid w:val="00E077D7"/>
    <w:rsid w:val="00E11003"/>
    <w:rsid w:val="00E1213E"/>
    <w:rsid w:val="00E12186"/>
    <w:rsid w:val="00E12551"/>
    <w:rsid w:val="00E1388D"/>
    <w:rsid w:val="00E13DDD"/>
    <w:rsid w:val="00E14EF5"/>
    <w:rsid w:val="00E14FE3"/>
    <w:rsid w:val="00E160DC"/>
    <w:rsid w:val="00E174C9"/>
    <w:rsid w:val="00E1758A"/>
    <w:rsid w:val="00E17EA3"/>
    <w:rsid w:val="00E17FA5"/>
    <w:rsid w:val="00E205CD"/>
    <w:rsid w:val="00E20D6B"/>
    <w:rsid w:val="00E21460"/>
    <w:rsid w:val="00E217EC"/>
    <w:rsid w:val="00E22763"/>
    <w:rsid w:val="00E22BF7"/>
    <w:rsid w:val="00E22DFC"/>
    <w:rsid w:val="00E230CE"/>
    <w:rsid w:val="00E233B8"/>
    <w:rsid w:val="00E24308"/>
    <w:rsid w:val="00E2508A"/>
    <w:rsid w:val="00E25979"/>
    <w:rsid w:val="00E25F6D"/>
    <w:rsid w:val="00E25FD6"/>
    <w:rsid w:val="00E26674"/>
    <w:rsid w:val="00E268D0"/>
    <w:rsid w:val="00E273A9"/>
    <w:rsid w:val="00E30341"/>
    <w:rsid w:val="00E3050B"/>
    <w:rsid w:val="00E30AB9"/>
    <w:rsid w:val="00E31356"/>
    <w:rsid w:val="00E31576"/>
    <w:rsid w:val="00E3210B"/>
    <w:rsid w:val="00E325CB"/>
    <w:rsid w:val="00E32688"/>
    <w:rsid w:val="00E32A0B"/>
    <w:rsid w:val="00E34200"/>
    <w:rsid w:val="00E34A61"/>
    <w:rsid w:val="00E34AFA"/>
    <w:rsid w:val="00E360E0"/>
    <w:rsid w:val="00E3642A"/>
    <w:rsid w:val="00E36492"/>
    <w:rsid w:val="00E36920"/>
    <w:rsid w:val="00E36FA6"/>
    <w:rsid w:val="00E3772C"/>
    <w:rsid w:val="00E37797"/>
    <w:rsid w:val="00E40018"/>
    <w:rsid w:val="00E4030F"/>
    <w:rsid w:val="00E41668"/>
    <w:rsid w:val="00E41B2C"/>
    <w:rsid w:val="00E41F06"/>
    <w:rsid w:val="00E42041"/>
    <w:rsid w:val="00E421AC"/>
    <w:rsid w:val="00E42AC6"/>
    <w:rsid w:val="00E43C87"/>
    <w:rsid w:val="00E442BF"/>
    <w:rsid w:val="00E445BB"/>
    <w:rsid w:val="00E44A17"/>
    <w:rsid w:val="00E453BE"/>
    <w:rsid w:val="00E4593F"/>
    <w:rsid w:val="00E46088"/>
    <w:rsid w:val="00E470A6"/>
    <w:rsid w:val="00E507B2"/>
    <w:rsid w:val="00E50948"/>
    <w:rsid w:val="00E517F1"/>
    <w:rsid w:val="00E51805"/>
    <w:rsid w:val="00E51BD8"/>
    <w:rsid w:val="00E54625"/>
    <w:rsid w:val="00E55DD4"/>
    <w:rsid w:val="00E567A7"/>
    <w:rsid w:val="00E5696B"/>
    <w:rsid w:val="00E5755A"/>
    <w:rsid w:val="00E57950"/>
    <w:rsid w:val="00E619E7"/>
    <w:rsid w:val="00E620AD"/>
    <w:rsid w:val="00E63498"/>
    <w:rsid w:val="00E64588"/>
    <w:rsid w:val="00E64D5C"/>
    <w:rsid w:val="00E64F29"/>
    <w:rsid w:val="00E6533C"/>
    <w:rsid w:val="00E6677E"/>
    <w:rsid w:val="00E668B7"/>
    <w:rsid w:val="00E67605"/>
    <w:rsid w:val="00E67892"/>
    <w:rsid w:val="00E67D90"/>
    <w:rsid w:val="00E71A4C"/>
    <w:rsid w:val="00E727AF"/>
    <w:rsid w:val="00E7365F"/>
    <w:rsid w:val="00E73690"/>
    <w:rsid w:val="00E73829"/>
    <w:rsid w:val="00E73C33"/>
    <w:rsid w:val="00E7482C"/>
    <w:rsid w:val="00E74C9E"/>
    <w:rsid w:val="00E75C4C"/>
    <w:rsid w:val="00E75ECA"/>
    <w:rsid w:val="00E76BF1"/>
    <w:rsid w:val="00E802A4"/>
    <w:rsid w:val="00E8135F"/>
    <w:rsid w:val="00E814DF"/>
    <w:rsid w:val="00E8177C"/>
    <w:rsid w:val="00E831EB"/>
    <w:rsid w:val="00E84E28"/>
    <w:rsid w:val="00E84E45"/>
    <w:rsid w:val="00E86351"/>
    <w:rsid w:val="00E86EDC"/>
    <w:rsid w:val="00E874BD"/>
    <w:rsid w:val="00E90762"/>
    <w:rsid w:val="00E90DE6"/>
    <w:rsid w:val="00E90EF1"/>
    <w:rsid w:val="00E912FF"/>
    <w:rsid w:val="00E91BDA"/>
    <w:rsid w:val="00E92846"/>
    <w:rsid w:val="00E942B4"/>
    <w:rsid w:val="00E9504D"/>
    <w:rsid w:val="00E95799"/>
    <w:rsid w:val="00E95E81"/>
    <w:rsid w:val="00E96C2C"/>
    <w:rsid w:val="00E96E77"/>
    <w:rsid w:val="00E97583"/>
    <w:rsid w:val="00E97C43"/>
    <w:rsid w:val="00EA0AE0"/>
    <w:rsid w:val="00EA2765"/>
    <w:rsid w:val="00EA2902"/>
    <w:rsid w:val="00EA3728"/>
    <w:rsid w:val="00EA38A9"/>
    <w:rsid w:val="00EA581E"/>
    <w:rsid w:val="00EA5C69"/>
    <w:rsid w:val="00EA69CD"/>
    <w:rsid w:val="00EA780E"/>
    <w:rsid w:val="00EB0029"/>
    <w:rsid w:val="00EB0D2A"/>
    <w:rsid w:val="00EB233A"/>
    <w:rsid w:val="00EB3409"/>
    <w:rsid w:val="00EB4BC3"/>
    <w:rsid w:val="00EB57A5"/>
    <w:rsid w:val="00EB6673"/>
    <w:rsid w:val="00EB6A1F"/>
    <w:rsid w:val="00EB6E96"/>
    <w:rsid w:val="00EB745E"/>
    <w:rsid w:val="00EB7B31"/>
    <w:rsid w:val="00EB7CC7"/>
    <w:rsid w:val="00EC0717"/>
    <w:rsid w:val="00EC1188"/>
    <w:rsid w:val="00EC119B"/>
    <w:rsid w:val="00EC1658"/>
    <w:rsid w:val="00EC2FEF"/>
    <w:rsid w:val="00EC3948"/>
    <w:rsid w:val="00EC430C"/>
    <w:rsid w:val="00EC57DC"/>
    <w:rsid w:val="00EC5CD2"/>
    <w:rsid w:val="00EC63D9"/>
    <w:rsid w:val="00EC7A2B"/>
    <w:rsid w:val="00EC7BB4"/>
    <w:rsid w:val="00EC7F1D"/>
    <w:rsid w:val="00ED0619"/>
    <w:rsid w:val="00ED0CEA"/>
    <w:rsid w:val="00ED1136"/>
    <w:rsid w:val="00ED3C7C"/>
    <w:rsid w:val="00ED3F99"/>
    <w:rsid w:val="00ED3FB3"/>
    <w:rsid w:val="00ED40B5"/>
    <w:rsid w:val="00ED4416"/>
    <w:rsid w:val="00ED4B78"/>
    <w:rsid w:val="00ED4BC3"/>
    <w:rsid w:val="00ED4C6B"/>
    <w:rsid w:val="00ED4C7E"/>
    <w:rsid w:val="00ED5726"/>
    <w:rsid w:val="00ED5B3A"/>
    <w:rsid w:val="00ED5E59"/>
    <w:rsid w:val="00ED640B"/>
    <w:rsid w:val="00ED78F3"/>
    <w:rsid w:val="00ED7EC2"/>
    <w:rsid w:val="00EE0461"/>
    <w:rsid w:val="00EE2788"/>
    <w:rsid w:val="00EE288B"/>
    <w:rsid w:val="00EE2E74"/>
    <w:rsid w:val="00EE3061"/>
    <w:rsid w:val="00EE475C"/>
    <w:rsid w:val="00EE4D21"/>
    <w:rsid w:val="00EE4ED2"/>
    <w:rsid w:val="00EE555D"/>
    <w:rsid w:val="00EE633E"/>
    <w:rsid w:val="00EE676A"/>
    <w:rsid w:val="00EE6D10"/>
    <w:rsid w:val="00EE7B51"/>
    <w:rsid w:val="00EE7E5D"/>
    <w:rsid w:val="00EF007F"/>
    <w:rsid w:val="00EF1DA5"/>
    <w:rsid w:val="00EF1E36"/>
    <w:rsid w:val="00EF1EEE"/>
    <w:rsid w:val="00EF2376"/>
    <w:rsid w:val="00EF2955"/>
    <w:rsid w:val="00EF4B50"/>
    <w:rsid w:val="00EF4F32"/>
    <w:rsid w:val="00EF6218"/>
    <w:rsid w:val="00EF6FB1"/>
    <w:rsid w:val="00EF770E"/>
    <w:rsid w:val="00EF786D"/>
    <w:rsid w:val="00EF7F25"/>
    <w:rsid w:val="00F006DF"/>
    <w:rsid w:val="00F00745"/>
    <w:rsid w:val="00F00B74"/>
    <w:rsid w:val="00F00D3A"/>
    <w:rsid w:val="00F015B0"/>
    <w:rsid w:val="00F01DFD"/>
    <w:rsid w:val="00F0261F"/>
    <w:rsid w:val="00F0349F"/>
    <w:rsid w:val="00F0387C"/>
    <w:rsid w:val="00F04347"/>
    <w:rsid w:val="00F046F4"/>
    <w:rsid w:val="00F0664D"/>
    <w:rsid w:val="00F06B78"/>
    <w:rsid w:val="00F06F97"/>
    <w:rsid w:val="00F10678"/>
    <w:rsid w:val="00F10D5F"/>
    <w:rsid w:val="00F10F34"/>
    <w:rsid w:val="00F1106D"/>
    <w:rsid w:val="00F11664"/>
    <w:rsid w:val="00F1177C"/>
    <w:rsid w:val="00F12A75"/>
    <w:rsid w:val="00F12F7F"/>
    <w:rsid w:val="00F13B58"/>
    <w:rsid w:val="00F15A1B"/>
    <w:rsid w:val="00F16AE2"/>
    <w:rsid w:val="00F177CD"/>
    <w:rsid w:val="00F17C06"/>
    <w:rsid w:val="00F17C30"/>
    <w:rsid w:val="00F17D91"/>
    <w:rsid w:val="00F200CD"/>
    <w:rsid w:val="00F20B4E"/>
    <w:rsid w:val="00F20B6F"/>
    <w:rsid w:val="00F20E0B"/>
    <w:rsid w:val="00F221D7"/>
    <w:rsid w:val="00F22BE5"/>
    <w:rsid w:val="00F22F76"/>
    <w:rsid w:val="00F23D27"/>
    <w:rsid w:val="00F242B7"/>
    <w:rsid w:val="00F243EC"/>
    <w:rsid w:val="00F24721"/>
    <w:rsid w:val="00F269B9"/>
    <w:rsid w:val="00F301D8"/>
    <w:rsid w:val="00F30E3C"/>
    <w:rsid w:val="00F317E6"/>
    <w:rsid w:val="00F31D08"/>
    <w:rsid w:val="00F3215A"/>
    <w:rsid w:val="00F32381"/>
    <w:rsid w:val="00F34FFE"/>
    <w:rsid w:val="00F36310"/>
    <w:rsid w:val="00F36FD5"/>
    <w:rsid w:val="00F37E30"/>
    <w:rsid w:val="00F433B6"/>
    <w:rsid w:val="00F434A4"/>
    <w:rsid w:val="00F43748"/>
    <w:rsid w:val="00F43B60"/>
    <w:rsid w:val="00F43FF5"/>
    <w:rsid w:val="00F44F86"/>
    <w:rsid w:val="00F45D45"/>
    <w:rsid w:val="00F4628F"/>
    <w:rsid w:val="00F4675B"/>
    <w:rsid w:val="00F4708C"/>
    <w:rsid w:val="00F50EC1"/>
    <w:rsid w:val="00F513E0"/>
    <w:rsid w:val="00F51756"/>
    <w:rsid w:val="00F53245"/>
    <w:rsid w:val="00F53620"/>
    <w:rsid w:val="00F543AC"/>
    <w:rsid w:val="00F5440E"/>
    <w:rsid w:val="00F54497"/>
    <w:rsid w:val="00F54B43"/>
    <w:rsid w:val="00F54BED"/>
    <w:rsid w:val="00F55661"/>
    <w:rsid w:val="00F55A2B"/>
    <w:rsid w:val="00F55EE8"/>
    <w:rsid w:val="00F5629F"/>
    <w:rsid w:val="00F579C8"/>
    <w:rsid w:val="00F60270"/>
    <w:rsid w:val="00F6041B"/>
    <w:rsid w:val="00F60DA6"/>
    <w:rsid w:val="00F61056"/>
    <w:rsid w:val="00F61240"/>
    <w:rsid w:val="00F61AE5"/>
    <w:rsid w:val="00F6251B"/>
    <w:rsid w:val="00F62FB8"/>
    <w:rsid w:val="00F63080"/>
    <w:rsid w:val="00F63D52"/>
    <w:rsid w:val="00F640DB"/>
    <w:rsid w:val="00F64275"/>
    <w:rsid w:val="00F64472"/>
    <w:rsid w:val="00F64D74"/>
    <w:rsid w:val="00F65371"/>
    <w:rsid w:val="00F65B63"/>
    <w:rsid w:val="00F660D0"/>
    <w:rsid w:val="00F667DE"/>
    <w:rsid w:val="00F66B11"/>
    <w:rsid w:val="00F66C20"/>
    <w:rsid w:val="00F66DD8"/>
    <w:rsid w:val="00F671E2"/>
    <w:rsid w:val="00F70B7B"/>
    <w:rsid w:val="00F713C8"/>
    <w:rsid w:val="00F72834"/>
    <w:rsid w:val="00F731E2"/>
    <w:rsid w:val="00F73255"/>
    <w:rsid w:val="00F73619"/>
    <w:rsid w:val="00F73C1F"/>
    <w:rsid w:val="00F74569"/>
    <w:rsid w:val="00F74C00"/>
    <w:rsid w:val="00F75287"/>
    <w:rsid w:val="00F753A8"/>
    <w:rsid w:val="00F76CA1"/>
    <w:rsid w:val="00F77342"/>
    <w:rsid w:val="00F7740A"/>
    <w:rsid w:val="00F776A8"/>
    <w:rsid w:val="00F81307"/>
    <w:rsid w:val="00F81592"/>
    <w:rsid w:val="00F82BA1"/>
    <w:rsid w:val="00F8303B"/>
    <w:rsid w:val="00F835FC"/>
    <w:rsid w:val="00F84399"/>
    <w:rsid w:val="00F8469C"/>
    <w:rsid w:val="00F84CB5"/>
    <w:rsid w:val="00F8578A"/>
    <w:rsid w:val="00F858C7"/>
    <w:rsid w:val="00F85FF5"/>
    <w:rsid w:val="00F867C5"/>
    <w:rsid w:val="00F86BFE"/>
    <w:rsid w:val="00F870BD"/>
    <w:rsid w:val="00F875F9"/>
    <w:rsid w:val="00F8789F"/>
    <w:rsid w:val="00F91D48"/>
    <w:rsid w:val="00F92309"/>
    <w:rsid w:val="00F92C01"/>
    <w:rsid w:val="00F94FF8"/>
    <w:rsid w:val="00F95A95"/>
    <w:rsid w:val="00F97ED2"/>
    <w:rsid w:val="00FA00B2"/>
    <w:rsid w:val="00FA050E"/>
    <w:rsid w:val="00FA16BE"/>
    <w:rsid w:val="00FA198F"/>
    <w:rsid w:val="00FA25C4"/>
    <w:rsid w:val="00FA3B9F"/>
    <w:rsid w:val="00FA4729"/>
    <w:rsid w:val="00FA4F01"/>
    <w:rsid w:val="00FA5381"/>
    <w:rsid w:val="00FA5F90"/>
    <w:rsid w:val="00FA60F2"/>
    <w:rsid w:val="00FA6330"/>
    <w:rsid w:val="00FA69E8"/>
    <w:rsid w:val="00FA7BFD"/>
    <w:rsid w:val="00FB06A8"/>
    <w:rsid w:val="00FB0BAB"/>
    <w:rsid w:val="00FB22E8"/>
    <w:rsid w:val="00FB2DE7"/>
    <w:rsid w:val="00FB2E59"/>
    <w:rsid w:val="00FB3528"/>
    <w:rsid w:val="00FB3A0A"/>
    <w:rsid w:val="00FB46B7"/>
    <w:rsid w:val="00FB50B6"/>
    <w:rsid w:val="00FB5F2D"/>
    <w:rsid w:val="00FB6552"/>
    <w:rsid w:val="00FB6EC8"/>
    <w:rsid w:val="00FB7914"/>
    <w:rsid w:val="00FB7B3F"/>
    <w:rsid w:val="00FC07E5"/>
    <w:rsid w:val="00FC0845"/>
    <w:rsid w:val="00FC0C09"/>
    <w:rsid w:val="00FC2A97"/>
    <w:rsid w:val="00FC380E"/>
    <w:rsid w:val="00FC3F5F"/>
    <w:rsid w:val="00FC6278"/>
    <w:rsid w:val="00FC6FC2"/>
    <w:rsid w:val="00FC7071"/>
    <w:rsid w:val="00FC729B"/>
    <w:rsid w:val="00FC7E55"/>
    <w:rsid w:val="00FD00D1"/>
    <w:rsid w:val="00FD071F"/>
    <w:rsid w:val="00FD0C7C"/>
    <w:rsid w:val="00FD0E53"/>
    <w:rsid w:val="00FD13D4"/>
    <w:rsid w:val="00FD2B9F"/>
    <w:rsid w:val="00FD3937"/>
    <w:rsid w:val="00FD4406"/>
    <w:rsid w:val="00FD5285"/>
    <w:rsid w:val="00FD5541"/>
    <w:rsid w:val="00FD56B5"/>
    <w:rsid w:val="00FD6956"/>
    <w:rsid w:val="00FD6BEA"/>
    <w:rsid w:val="00FD7738"/>
    <w:rsid w:val="00FE14C1"/>
    <w:rsid w:val="00FE1778"/>
    <w:rsid w:val="00FE225B"/>
    <w:rsid w:val="00FE2D1C"/>
    <w:rsid w:val="00FE3101"/>
    <w:rsid w:val="00FE3DD0"/>
    <w:rsid w:val="00FE3F07"/>
    <w:rsid w:val="00FE429F"/>
    <w:rsid w:val="00FE4EDF"/>
    <w:rsid w:val="00FE517C"/>
    <w:rsid w:val="00FE6CA9"/>
    <w:rsid w:val="00FE786C"/>
    <w:rsid w:val="00FF032F"/>
    <w:rsid w:val="00FF080E"/>
    <w:rsid w:val="00FF097D"/>
    <w:rsid w:val="00FF0C92"/>
    <w:rsid w:val="00FF13D3"/>
    <w:rsid w:val="00FF1891"/>
    <w:rsid w:val="00FF2B8A"/>
    <w:rsid w:val="00FF3207"/>
    <w:rsid w:val="00FF3387"/>
    <w:rsid w:val="00FF3813"/>
    <w:rsid w:val="00FF3EFF"/>
    <w:rsid w:val="00FF41CF"/>
    <w:rsid w:val="00FF4767"/>
    <w:rsid w:val="00FF5239"/>
    <w:rsid w:val="00FF53A2"/>
    <w:rsid w:val="00FF55F9"/>
    <w:rsid w:val="00FF5A20"/>
    <w:rsid w:val="00FF5E92"/>
    <w:rsid w:val="00FF610E"/>
    <w:rsid w:val="00FF6294"/>
    <w:rsid w:val="00FF62D6"/>
    <w:rsid w:val="00FF65F3"/>
    <w:rsid w:val="00FF679A"/>
    <w:rsid w:val="00FF6E81"/>
    <w:rsid w:val="00FF6F6B"/>
    <w:rsid w:val="00FF709A"/>
    <w:rsid w:val="00FF75CE"/>
    <w:rsid w:val="00FF7D3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4233E4"/>
  <w15:docId w15:val="{E4C4A4EA-022F-4FB6-B591-466023143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hr-HR" w:eastAsia="hr-H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829"/>
    <w:rPr>
      <w:sz w:val="24"/>
      <w:szCs w:val="24"/>
      <w:lang w:val="en-US" w:eastAsia="en-US"/>
    </w:rPr>
  </w:style>
  <w:style w:type="paragraph" w:styleId="Naslov1">
    <w:name w:val="heading 1"/>
    <w:basedOn w:val="Normal"/>
    <w:next w:val="Normal"/>
    <w:link w:val="Naslov1Char"/>
    <w:uiPriority w:val="99"/>
    <w:qFormat/>
    <w:rsid w:val="00422186"/>
    <w:pPr>
      <w:keepNext/>
      <w:numPr>
        <w:numId w:val="2"/>
      </w:numPr>
      <w:spacing w:before="240" w:after="60"/>
      <w:outlineLvl w:val="0"/>
    </w:pPr>
    <w:rPr>
      <w:rFonts w:ascii="Arial" w:hAnsi="Arial" w:cs="Arial"/>
      <w:b/>
      <w:bCs/>
      <w:kern w:val="32"/>
      <w:sz w:val="32"/>
      <w:szCs w:val="32"/>
    </w:rPr>
  </w:style>
  <w:style w:type="paragraph" w:styleId="Naslov2">
    <w:name w:val="heading 2"/>
    <w:basedOn w:val="Normal"/>
    <w:next w:val="Normal"/>
    <w:link w:val="Naslov2Char"/>
    <w:uiPriority w:val="99"/>
    <w:qFormat/>
    <w:rsid w:val="00422186"/>
    <w:pPr>
      <w:keepNext/>
      <w:numPr>
        <w:ilvl w:val="1"/>
        <w:numId w:val="2"/>
      </w:numPr>
      <w:spacing w:before="240" w:after="60"/>
      <w:outlineLvl w:val="1"/>
    </w:pPr>
    <w:rPr>
      <w:rFonts w:ascii="Arial" w:hAnsi="Arial" w:cs="Arial"/>
      <w:b/>
      <w:bCs/>
      <w:i/>
      <w:iCs/>
      <w:sz w:val="28"/>
      <w:szCs w:val="28"/>
    </w:rPr>
  </w:style>
  <w:style w:type="paragraph" w:styleId="Naslov3">
    <w:name w:val="heading 3"/>
    <w:basedOn w:val="Normal"/>
    <w:next w:val="Normal"/>
    <w:link w:val="Naslov3Char"/>
    <w:uiPriority w:val="99"/>
    <w:qFormat/>
    <w:rsid w:val="00422186"/>
    <w:pPr>
      <w:keepNext/>
      <w:numPr>
        <w:ilvl w:val="2"/>
        <w:numId w:val="2"/>
      </w:numPr>
      <w:spacing w:before="240" w:after="60"/>
      <w:outlineLvl w:val="2"/>
    </w:pPr>
    <w:rPr>
      <w:rFonts w:ascii="Arial" w:hAnsi="Arial" w:cs="Arial"/>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Pr>
      <w:rFonts w:ascii="Cambria" w:hAnsi="Cambria" w:cs="Cambria"/>
      <w:b/>
      <w:bCs/>
      <w:kern w:val="32"/>
      <w:sz w:val="32"/>
      <w:szCs w:val="32"/>
      <w:lang w:val="en-US" w:eastAsia="en-US"/>
    </w:rPr>
  </w:style>
  <w:style w:type="character" w:customStyle="1" w:styleId="Naslov2Char">
    <w:name w:val="Naslov 2 Char"/>
    <w:basedOn w:val="Zadanifontodlomka"/>
    <w:link w:val="Naslov2"/>
    <w:uiPriority w:val="99"/>
    <w:semiHidden/>
    <w:locked/>
    <w:rPr>
      <w:rFonts w:ascii="Cambria" w:hAnsi="Cambria" w:cs="Cambria"/>
      <w:b/>
      <w:bCs/>
      <w:i/>
      <w:iCs/>
      <w:sz w:val="28"/>
      <w:szCs w:val="28"/>
      <w:lang w:val="en-US" w:eastAsia="en-US"/>
    </w:rPr>
  </w:style>
  <w:style w:type="character" w:customStyle="1" w:styleId="Naslov3Char">
    <w:name w:val="Naslov 3 Char"/>
    <w:basedOn w:val="Zadanifontodlomka"/>
    <w:link w:val="Naslov3"/>
    <w:uiPriority w:val="99"/>
    <w:semiHidden/>
    <w:locked/>
    <w:rPr>
      <w:rFonts w:ascii="Cambria" w:hAnsi="Cambria" w:cs="Cambria"/>
      <w:b/>
      <w:bCs/>
      <w:sz w:val="26"/>
      <w:szCs w:val="26"/>
      <w:lang w:val="en-US" w:eastAsia="en-US"/>
    </w:rPr>
  </w:style>
  <w:style w:type="table" w:styleId="Reetkatablice">
    <w:name w:val="Table Grid"/>
    <w:basedOn w:val="Obinatablica"/>
    <w:uiPriority w:val="39"/>
    <w:rsid w:val="0061730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JENSKIRADOVI3Podpodnaslovpoglavlja">
    <w:name w:val="OCJENSKI_RADOVI_3_Podpodnaslov_poglavlja"/>
    <w:basedOn w:val="OCJENSKIRADOVIFontParagraph"/>
    <w:next w:val="Normal"/>
    <w:uiPriority w:val="99"/>
    <w:rsid w:val="000771D9"/>
    <w:pPr>
      <w:numPr>
        <w:ilvl w:val="2"/>
        <w:numId w:val="24"/>
      </w:numPr>
      <w:spacing w:after="120"/>
    </w:pPr>
    <w:rPr>
      <w:i/>
      <w:iCs/>
    </w:rPr>
  </w:style>
  <w:style w:type="paragraph" w:customStyle="1" w:styleId="OCJENSKIRADOVIReferencija">
    <w:name w:val="OCJENSKI_RADOVI_Referencija"/>
    <w:basedOn w:val="OCJENSKIRADOVIFontParagraph"/>
    <w:rsid w:val="007416FA"/>
    <w:pPr>
      <w:numPr>
        <w:numId w:val="32"/>
      </w:numPr>
      <w:spacing w:line="360" w:lineRule="auto"/>
      <w:ind w:left="454" w:hanging="454"/>
    </w:pPr>
    <w:rPr>
      <w:sz w:val="22"/>
      <w:szCs w:val="22"/>
    </w:rPr>
  </w:style>
  <w:style w:type="paragraph" w:customStyle="1" w:styleId="OCJENSKIRADOVIHeader">
    <w:name w:val="OCJENSKI_RADOVI_Header"/>
    <w:basedOn w:val="OCJENSKIRADOVIFontParagraph"/>
    <w:uiPriority w:val="99"/>
    <w:rsid w:val="00F63080"/>
    <w:pPr>
      <w:tabs>
        <w:tab w:val="right" w:pos="9072"/>
      </w:tabs>
    </w:pPr>
    <w:rPr>
      <w:b/>
      <w:bCs/>
      <w:sz w:val="20"/>
      <w:szCs w:val="20"/>
    </w:rPr>
  </w:style>
  <w:style w:type="paragraph" w:customStyle="1" w:styleId="OCJENSKIRADOVIOdlomak1PRVIODLOMAK">
    <w:name w:val="OCJENSKI_RADOVI_Odlomak_1_PRVI_ODLOMAK"/>
    <w:basedOn w:val="OCJENSKIRADOVIFontParagraph"/>
    <w:next w:val="OCJENSKIRADOVIOdlomak2OSTALIODLOMCI"/>
    <w:link w:val="OCJENSKIRADOVIOdlomak1PRVIODLOMAKChar"/>
    <w:uiPriority w:val="99"/>
    <w:rsid w:val="0009307D"/>
    <w:pPr>
      <w:spacing w:line="360" w:lineRule="auto"/>
      <w:jc w:val="both"/>
    </w:pPr>
  </w:style>
  <w:style w:type="paragraph" w:customStyle="1" w:styleId="OCJENSKIRADOVIOdlomak2OSTALIODLOMCI">
    <w:name w:val="OCJENSKI_RADOVI_Odlomak_2_OSTALI_ODLOMCI"/>
    <w:basedOn w:val="OCJENSKIRADOVIOdlomak1PRVIODLOMAK"/>
    <w:uiPriority w:val="99"/>
    <w:rsid w:val="00CC73D0"/>
    <w:pPr>
      <w:ind w:firstLine="340"/>
    </w:pPr>
  </w:style>
  <w:style w:type="paragraph" w:customStyle="1" w:styleId="CCAReference">
    <w:name w:val="CCA_Reference"/>
    <w:basedOn w:val="Normal"/>
    <w:uiPriority w:val="99"/>
    <w:rsid w:val="00EB7CC7"/>
    <w:pPr>
      <w:widowControl w:val="0"/>
      <w:numPr>
        <w:numId w:val="33"/>
      </w:numPr>
      <w:tabs>
        <w:tab w:val="left" w:pos="340"/>
      </w:tabs>
      <w:autoSpaceDE w:val="0"/>
      <w:autoSpaceDN w:val="0"/>
      <w:adjustRightInd w:val="0"/>
      <w:spacing w:line="200" w:lineRule="exact"/>
      <w:ind w:left="340" w:hanging="170"/>
      <w:jc w:val="both"/>
    </w:pPr>
    <w:rPr>
      <w:sz w:val="16"/>
      <w:szCs w:val="16"/>
    </w:rPr>
  </w:style>
  <w:style w:type="paragraph" w:customStyle="1" w:styleId="OCJENSKIRADOVI1Naslovpoglavlja">
    <w:name w:val="OCJENSKI_RADOVI_1_Naslov_poglavlja"/>
    <w:basedOn w:val="OCJENSKIRADOVI0Naslovsadrzaja"/>
    <w:link w:val="OCJENSKIRADOVI1NaslovpoglavljaChar"/>
    <w:uiPriority w:val="99"/>
    <w:rsid w:val="00BC4A5C"/>
    <w:pPr>
      <w:numPr>
        <w:numId w:val="24"/>
      </w:numPr>
      <w:tabs>
        <w:tab w:val="left" w:pos="1134"/>
      </w:tabs>
      <w:outlineLvl w:val="0"/>
    </w:pPr>
    <w:rPr>
      <w:caps/>
    </w:rPr>
  </w:style>
  <w:style w:type="character" w:customStyle="1" w:styleId="OCJENSKIRADOVI1NaslovpoglavljaChar">
    <w:name w:val="OCJENSKI_RADOVI_1_Naslov_poglavlja Char"/>
    <w:basedOn w:val="Zadanifontodlomka"/>
    <w:link w:val="OCJENSKIRADOVI1Naslovpoglavlja"/>
    <w:uiPriority w:val="99"/>
    <w:locked/>
    <w:rsid w:val="00BC4A5C"/>
    <w:rPr>
      <w:rFonts w:ascii="Calibri" w:hAnsi="Calibri" w:cs="Calibri"/>
      <w:b/>
      <w:bCs/>
      <w:caps/>
      <w:color w:val="auto"/>
      <w:sz w:val="24"/>
      <w:szCs w:val="24"/>
      <w:lang w:val="hr-HR"/>
    </w:rPr>
  </w:style>
  <w:style w:type="paragraph" w:customStyle="1" w:styleId="OCJENSKIRADOVIFooter">
    <w:name w:val="OCJENSKI_RADOVI_Footer"/>
    <w:basedOn w:val="OCJENSKIRADOVIFontParagraph"/>
    <w:uiPriority w:val="99"/>
    <w:rsid w:val="00F63080"/>
    <w:pPr>
      <w:tabs>
        <w:tab w:val="right" w:pos="9072"/>
      </w:tabs>
    </w:pPr>
    <w:rPr>
      <w:b/>
      <w:bCs/>
      <w:sz w:val="20"/>
      <w:szCs w:val="20"/>
    </w:rPr>
  </w:style>
  <w:style w:type="paragraph" w:customStyle="1" w:styleId="OCJENSKIRADOVIFontParagraph">
    <w:name w:val="OCJENSKI_RADOVI_Font_Paragraph"/>
    <w:uiPriority w:val="99"/>
    <w:rsid w:val="007416FA"/>
    <w:rPr>
      <w:sz w:val="24"/>
      <w:szCs w:val="24"/>
      <w:lang w:eastAsia="en-US"/>
    </w:rPr>
  </w:style>
  <w:style w:type="paragraph" w:customStyle="1" w:styleId="OCJENSKIRADOVIOdlomak3NASTAVAKODLOMKA">
    <w:name w:val="OCJENSKI_RADOVI_Odlomak_3_NASTAVAK_ODLOMKA"/>
    <w:basedOn w:val="OCJENSKIRADOVIOdlomak1PRVIODLOMAK"/>
    <w:link w:val="OCJENSKIRADOVIOdlomak3NASTAVAKODLOMKAChar"/>
    <w:uiPriority w:val="99"/>
    <w:rsid w:val="0009307D"/>
  </w:style>
  <w:style w:type="character" w:customStyle="1" w:styleId="OCJENSKIRADOVIOdlomak3NASTAVAKODLOMKAChar">
    <w:name w:val="OCJENSKI_RADOVI_Odlomak_3_NASTAVAK_ODLOMKA Char"/>
    <w:basedOn w:val="Zadanifontodlomka"/>
    <w:link w:val="OCJENSKIRADOVIOdlomak3NASTAVAKODLOMKA"/>
    <w:uiPriority w:val="99"/>
    <w:locked/>
    <w:rsid w:val="0009307D"/>
    <w:rPr>
      <w:rFonts w:ascii="Calibri" w:hAnsi="Calibri" w:cs="Calibri"/>
      <w:sz w:val="24"/>
      <w:szCs w:val="24"/>
      <w:lang w:val="hr-HR"/>
    </w:rPr>
  </w:style>
  <w:style w:type="paragraph" w:styleId="Sadraj4">
    <w:name w:val="toc 4"/>
    <w:basedOn w:val="Normal"/>
    <w:next w:val="Normal"/>
    <w:autoRedefine/>
    <w:uiPriority w:val="99"/>
    <w:semiHidden/>
    <w:rsid w:val="00700704"/>
    <w:pPr>
      <w:ind w:left="720"/>
    </w:pPr>
  </w:style>
  <w:style w:type="character" w:styleId="Hiperveza">
    <w:name w:val="Hyperlink"/>
    <w:aliases w:val="OCJENSKI_RADOVI_Hyperlink"/>
    <w:basedOn w:val="OCJENSKIRADOVIFontCharacter"/>
    <w:uiPriority w:val="99"/>
    <w:rsid w:val="007A649E"/>
    <w:rPr>
      <w:rFonts w:ascii="Times New Roman" w:hAnsi="Times New Roman" w:cs="Times New Roman"/>
      <w:color w:val="003399"/>
      <w:sz w:val="20"/>
      <w:szCs w:val="20"/>
      <w:u w:val="single"/>
    </w:rPr>
  </w:style>
  <w:style w:type="paragraph" w:customStyle="1" w:styleId="OCJENSKIRADOVI2Podnaslovpoglavlja">
    <w:name w:val="OCJENSKI_RADOVI_2_Podnaslov_poglavlja"/>
    <w:basedOn w:val="OCJENSKIRADOVIFontParagraph"/>
    <w:next w:val="Normal"/>
    <w:link w:val="OCJENSKIRADOVI2PodnaslovpoglavljaChar"/>
    <w:uiPriority w:val="99"/>
    <w:rsid w:val="006A7229"/>
    <w:pPr>
      <w:numPr>
        <w:ilvl w:val="1"/>
        <w:numId w:val="24"/>
      </w:numPr>
      <w:spacing w:before="240" w:after="120"/>
      <w:outlineLvl w:val="1"/>
    </w:pPr>
    <w:rPr>
      <w:b/>
      <w:bCs/>
      <w:sz w:val="28"/>
      <w:szCs w:val="28"/>
    </w:rPr>
  </w:style>
  <w:style w:type="character" w:customStyle="1" w:styleId="OCJENSKIRADOVI2PodnaslovpoglavljaChar">
    <w:name w:val="OCJENSKI_RADOVI_2_Podnaslov_poglavlja Char"/>
    <w:basedOn w:val="Zadanifontodlomka"/>
    <w:link w:val="OCJENSKIRADOVI2Podnaslovpoglavlja"/>
    <w:uiPriority w:val="99"/>
    <w:locked/>
    <w:rsid w:val="006A7229"/>
    <w:rPr>
      <w:b/>
      <w:bCs/>
      <w:sz w:val="24"/>
      <w:szCs w:val="24"/>
      <w:lang w:val="hr-HR"/>
    </w:rPr>
  </w:style>
  <w:style w:type="paragraph" w:styleId="Zaglavlje">
    <w:name w:val="header"/>
    <w:basedOn w:val="Normal"/>
    <w:link w:val="ZaglavljeChar"/>
    <w:uiPriority w:val="99"/>
    <w:rsid w:val="00727650"/>
    <w:pPr>
      <w:tabs>
        <w:tab w:val="center" w:pos="4320"/>
        <w:tab w:val="right" w:pos="8640"/>
      </w:tabs>
    </w:pPr>
  </w:style>
  <w:style w:type="character" w:customStyle="1" w:styleId="ZaglavljeChar">
    <w:name w:val="Zaglavlje Char"/>
    <w:basedOn w:val="Zadanifontodlomka"/>
    <w:link w:val="Zaglavlje"/>
    <w:uiPriority w:val="99"/>
    <w:semiHidden/>
    <w:locked/>
    <w:rPr>
      <w:sz w:val="24"/>
      <w:szCs w:val="24"/>
      <w:lang w:val="en-US" w:eastAsia="en-US"/>
    </w:rPr>
  </w:style>
  <w:style w:type="paragraph" w:styleId="Podnoje">
    <w:name w:val="footer"/>
    <w:basedOn w:val="Normal"/>
    <w:link w:val="PodnojeChar"/>
    <w:uiPriority w:val="99"/>
    <w:rsid w:val="00727650"/>
    <w:pPr>
      <w:tabs>
        <w:tab w:val="center" w:pos="4320"/>
        <w:tab w:val="right" w:pos="8640"/>
      </w:tabs>
    </w:pPr>
  </w:style>
  <w:style w:type="character" w:customStyle="1" w:styleId="PodnojeChar">
    <w:name w:val="Podnožje Char"/>
    <w:basedOn w:val="Zadanifontodlomka"/>
    <w:link w:val="Podnoje"/>
    <w:uiPriority w:val="99"/>
    <w:semiHidden/>
    <w:locked/>
    <w:rPr>
      <w:sz w:val="24"/>
      <w:szCs w:val="24"/>
      <w:lang w:val="en-US" w:eastAsia="en-US"/>
    </w:rPr>
  </w:style>
  <w:style w:type="paragraph" w:styleId="TOCNaslov">
    <w:name w:val="TOC Heading"/>
    <w:basedOn w:val="Naslov1"/>
    <w:next w:val="Normal"/>
    <w:uiPriority w:val="39"/>
    <w:qFormat/>
    <w:rsid w:val="00294BFB"/>
    <w:pPr>
      <w:keepLines/>
      <w:numPr>
        <w:numId w:val="0"/>
      </w:numPr>
      <w:spacing w:before="480" w:after="0" w:line="276" w:lineRule="auto"/>
      <w:outlineLvl w:val="9"/>
    </w:pPr>
    <w:rPr>
      <w:rFonts w:ascii="Cambria" w:hAnsi="Cambria" w:cs="Cambria"/>
      <w:color w:val="365F91"/>
      <w:kern w:val="0"/>
      <w:sz w:val="28"/>
      <w:szCs w:val="28"/>
    </w:rPr>
  </w:style>
  <w:style w:type="paragraph" w:customStyle="1" w:styleId="OCJENSKIRADOVI0Naslovsadrzaja">
    <w:name w:val="OCJENSKI_RADOVI_0_Naslov_sadrzaja"/>
    <w:basedOn w:val="OCJENSKIRADOVIFontParagraph"/>
    <w:uiPriority w:val="99"/>
    <w:rsid w:val="0065627C"/>
    <w:pPr>
      <w:spacing w:before="600" w:after="480"/>
    </w:pPr>
    <w:rPr>
      <w:b/>
      <w:bCs/>
      <w:color w:val="003399"/>
      <w:sz w:val="36"/>
      <w:szCs w:val="36"/>
    </w:rPr>
  </w:style>
  <w:style w:type="character" w:styleId="Referencakomentara">
    <w:name w:val="annotation reference"/>
    <w:basedOn w:val="Zadanifontodlomka"/>
    <w:uiPriority w:val="99"/>
    <w:semiHidden/>
    <w:rsid w:val="005B0FE9"/>
    <w:rPr>
      <w:sz w:val="16"/>
      <w:szCs w:val="16"/>
    </w:rPr>
  </w:style>
  <w:style w:type="paragraph" w:styleId="Tekstkomentara">
    <w:name w:val="annotation text"/>
    <w:basedOn w:val="Normal"/>
    <w:link w:val="TekstkomentaraChar"/>
    <w:uiPriority w:val="99"/>
    <w:semiHidden/>
    <w:rsid w:val="005B0FE9"/>
    <w:rPr>
      <w:sz w:val="20"/>
      <w:szCs w:val="20"/>
    </w:rPr>
  </w:style>
  <w:style w:type="character" w:customStyle="1" w:styleId="TekstkomentaraChar">
    <w:name w:val="Tekst komentara Char"/>
    <w:basedOn w:val="Zadanifontodlomka"/>
    <w:link w:val="Tekstkomentara"/>
    <w:uiPriority w:val="99"/>
    <w:semiHidden/>
    <w:locked/>
    <w:rPr>
      <w:sz w:val="20"/>
      <w:szCs w:val="20"/>
      <w:lang w:val="en-US" w:eastAsia="en-US"/>
    </w:rPr>
  </w:style>
  <w:style w:type="paragraph" w:styleId="Predmetkomentara">
    <w:name w:val="annotation subject"/>
    <w:basedOn w:val="Tekstkomentara"/>
    <w:next w:val="Tekstkomentara"/>
    <w:link w:val="PredmetkomentaraChar"/>
    <w:uiPriority w:val="99"/>
    <w:semiHidden/>
    <w:rsid w:val="005B0FE9"/>
    <w:rPr>
      <w:b/>
      <w:bCs/>
    </w:rPr>
  </w:style>
  <w:style w:type="character" w:customStyle="1" w:styleId="PredmetkomentaraChar">
    <w:name w:val="Predmet komentara Char"/>
    <w:basedOn w:val="TekstkomentaraChar"/>
    <w:link w:val="Predmetkomentara"/>
    <w:uiPriority w:val="99"/>
    <w:semiHidden/>
    <w:locked/>
    <w:rPr>
      <w:b/>
      <w:bCs/>
      <w:sz w:val="20"/>
      <w:szCs w:val="20"/>
      <w:lang w:val="en-US" w:eastAsia="en-US"/>
    </w:rPr>
  </w:style>
  <w:style w:type="paragraph" w:styleId="Tekstbalonia">
    <w:name w:val="Balloon Text"/>
    <w:basedOn w:val="Normal"/>
    <w:link w:val="TekstbaloniaChar"/>
    <w:uiPriority w:val="99"/>
    <w:semiHidden/>
    <w:rsid w:val="005B0FE9"/>
    <w:rPr>
      <w:rFonts w:ascii="Tahoma" w:hAnsi="Tahoma" w:cs="Tahoma"/>
      <w:sz w:val="16"/>
      <w:szCs w:val="16"/>
    </w:rPr>
  </w:style>
  <w:style w:type="character" w:customStyle="1" w:styleId="TekstbaloniaChar">
    <w:name w:val="Tekst balončića Char"/>
    <w:basedOn w:val="Zadanifontodlomka"/>
    <w:link w:val="Tekstbalonia"/>
    <w:uiPriority w:val="99"/>
    <w:semiHidden/>
    <w:locked/>
    <w:rPr>
      <w:sz w:val="2"/>
      <w:szCs w:val="2"/>
      <w:lang w:val="en-US" w:eastAsia="en-US"/>
    </w:rPr>
  </w:style>
  <w:style w:type="paragraph" w:styleId="Sadraj1">
    <w:name w:val="toc 1"/>
    <w:aliases w:val="OCJENSKI_RADOVI_TOC_1"/>
    <w:basedOn w:val="Normal"/>
    <w:next w:val="Normal"/>
    <w:autoRedefine/>
    <w:uiPriority w:val="39"/>
    <w:rsid w:val="0065627C"/>
    <w:pPr>
      <w:tabs>
        <w:tab w:val="left" w:pos="567"/>
        <w:tab w:val="right" w:leader="dot" w:pos="9072"/>
      </w:tabs>
      <w:spacing w:before="120"/>
    </w:pPr>
    <w:rPr>
      <w:b/>
      <w:bCs/>
      <w:caps/>
      <w:noProof/>
      <w:color w:val="003399"/>
    </w:rPr>
  </w:style>
  <w:style w:type="paragraph" w:styleId="Sadraj9">
    <w:name w:val="toc 9"/>
    <w:basedOn w:val="Normal"/>
    <w:next w:val="Normal"/>
    <w:autoRedefine/>
    <w:uiPriority w:val="99"/>
    <w:semiHidden/>
    <w:rsid w:val="00060EB5"/>
    <w:pPr>
      <w:ind w:left="1920"/>
    </w:pPr>
  </w:style>
  <w:style w:type="paragraph" w:styleId="Sadraj2">
    <w:name w:val="toc 2"/>
    <w:aliases w:val="OCJENSKI_RADOVI_TOC_2"/>
    <w:basedOn w:val="Normal"/>
    <w:next w:val="Normal"/>
    <w:autoRedefine/>
    <w:uiPriority w:val="39"/>
    <w:rsid w:val="0065627C"/>
    <w:pPr>
      <w:tabs>
        <w:tab w:val="left" w:pos="567"/>
        <w:tab w:val="right" w:leader="dot" w:pos="9072"/>
      </w:tabs>
      <w:spacing w:before="120"/>
      <w:ind w:left="567" w:hanging="567"/>
    </w:pPr>
    <w:rPr>
      <w:b/>
      <w:bCs/>
      <w:sz w:val="22"/>
      <w:szCs w:val="22"/>
    </w:rPr>
  </w:style>
  <w:style w:type="paragraph" w:styleId="Sadraj3">
    <w:name w:val="toc 3"/>
    <w:aliases w:val="OCJENSKI_RADOVI_TOC_3"/>
    <w:basedOn w:val="Normal"/>
    <w:next w:val="Normal"/>
    <w:autoRedefine/>
    <w:uiPriority w:val="39"/>
    <w:rsid w:val="0065627C"/>
    <w:pPr>
      <w:tabs>
        <w:tab w:val="left" w:pos="567"/>
        <w:tab w:val="right" w:leader="dot" w:pos="9072"/>
      </w:tabs>
      <w:spacing w:before="120"/>
      <w:ind w:left="567" w:hanging="567"/>
    </w:pPr>
    <w:rPr>
      <w:i/>
      <w:iCs/>
      <w:sz w:val="22"/>
      <w:szCs w:val="22"/>
    </w:rPr>
  </w:style>
  <w:style w:type="character" w:customStyle="1" w:styleId="OCJENSKIRADOVIFontCharacter">
    <w:name w:val="OCJENSKI_RADOVI_Font_Character"/>
    <w:uiPriority w:val="99"/>
    <w:rsid w:val="007A649E"/>
    <w:rPr>
      <w:rFonts w:ascii="Times New Roman" w:hAnsi="Times New Roman" w:cs="Times New Roman"/>
      <w:u w:val="none"/>
    </w:rPr>
  </w:style>
  <w:style w:type="character" w:customStyle="1" w:styleId="OCJENSKIRADOVIOdlomak1PRVIODLOMAKChar">
    <w:name w:val="OCJENSKI_RADOVI_Odlomak_1_PRVI_ODLOMAK Char"/>
    <w:basedOn w:val="Zadanifontodlomka"/>
    <w:link w:val="OCJENSKIRADOVIOdlomak1PRVIODLOMAK"/>
    <w:uiPriority w:val="99"/>
    <w:locked/>
    <w:rsid w:val="000B3A7B"/>
    <w:rPr>
      <w:sz w:val="24"/>
      <w:szCs w:val="24"/>
      <w:lang w:val="hr-HR"/>
    </w:rPr>
  </w:style>
  <w:style w:type="character" w:styleId="Istaknuto">
    <w:name w:val="Emphasis"/>
    <w:basedOn w:val="Zadanifontodlomka"/>
    <w:uiPriority w:val="99"/>
    <w:qFormat/>
    <w:rsid w:val="00F31D08"/>
    <w:rPr>
      <w:i/>
      <w:iCs/>
    </w:rPr>
  </w:style>
  <w:style w:type="character" w:styleId="Naglaeno">
    <w:name w:val="Strong"/>
    <w:basedOn w:val="Zadanifontodlomka"/>
    <w:uiPriority w:val="22"/>
    <w:qFormat/>
    <w:rsid w:val="000A025F"/>
    <w:rPr>
      <w:b/>
      <w:bCs/>
    </w:rPr>
  </w:style>
  <w:style w:type="paragraph" w:styleId="Odlomakpopisa">
    <w:name w:val="List Paragraph"/>
    <w:basedOn w:val="Normal"/>
    <w:uiPriority w:val="99"/>
    <w:qFormat/>
    <w:rsid w:val="000B5D0E"/>
    <w:pPr>
      <w:ind w:left="720"/>
    </w:pPr>
  </w:style>
  <w:style w:type="numbering" w:customStyle="1" w:styleId="CurrentList1">
    <w:name w:val="Current List1"/>
    <w:rsid w:val="00ED052C"/>
    <w:pPr>
      <w:numPr>
        <w:numId w:val="22"/>
      </w:numPr>
    </w:pPr>
  </w:style>
  <w:style w:type="paragraph" w:styleId="Revizija">
    <w:name w:val="Revision"/>
    <w:hidden/>
    <w:uiPriority w:val="99"/>
    <w:semiHidden/>
    <w:rsid w:val="00EF2376"/>
    <w:rPr>
      <w:sz w:val="24"/>
      <w:szCs w:val="24"/>
      <w:lang w:val="en-US" w:eastAsia="en-US"/>
    </w:rPr>
  </w:style>
  <w:style w:type="character" w:styleId="SlijeenaHiperveza">
    <w:name w:val="FollowedHyperlink"/>
    <w:basedOn w:val="Zadanifontodlomka"/>
    <w:uiPriority w:val="99"/>
    <w:semiHidden/>
    <w:unhideWhenUsed/>
    <w:rsid w:val="00B62C42"/>
    <w:rPr>
      <w:color w:val="800080" w:themeColor="followedHyperlink"/>
      <w:u w:val="single"/>
    </w:rPr>
  </w:style>
  <w:style w:type="paragraph" w:styleId="Bibliografija">
    <w:name w:val="Bibliography"/>
    <w:basedOn w:val="Normal"/>
    <w:next w:val="Normal"/>
    <w:uiPriority w:val="37"/>
    <w:unhideWhenUsed/>
    <w:rsid w:val="008B4422"/>
  </w:style>
  <w:style w:type="paragraph" w:customStyle="1" w:styleId="Default">
    <w:name w:val="Default"/>
    <w:rsid w:val="000A3268"/>
    <w:pPr>
      <w:autoSpaceDE w:val="0"/>
      <w:autoSpaceDN w:val="0"/>
      <w:adjustRightInd w:val="0"/>
    </w:pPr>
    <w:rPr>
      <w:color w:val="000000"/>
      <w:sz w:val="24"/>
      <w:szCs w:val="24"/>
      <w:lang w:val="en-GB"/>
    </w:rPr>
  </w:style>
  <w:style w:type="character" w:styleId="Tekstrezerviranogmjesta">
    <w:name w:val="Placeholder Text"/>
    <w:basedOn w:val="Zadanifontodlomka"/>
    <w:uiPriority w:val="99"/>
    <w:semiHidden/>
    <w:rsid w:val="00FD0E5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555911">
      <w:bodyDiv w:val="1"/>
      <w:marLeft w:val="0"/>
      <w:marRight w:val="0"/>
      <w:marTop w:val="0"/>
      <w:marBottom w:val="0"/>
      <w:divBdr>
        <w:top w:val="none" w:sz="0" w:space="0" w:color="auto"/>
        <w:left w:val="none" w:sz="0" w:space="0" w:color="auto"/>
        <w:bottom w:val="none" w:sz="0" w:space="0" w:color="auto"/>
        <w:right w:val="none" w:sz="0" w:space="0" w:color="auto"/>
      </w:divBdr>
    </w:div>
    <w:div w:id="155804945">
      <w:bodyDiv w:val="1"/>
      <w:marLeft w:val="0"/>
      <w:marRight w:val="0"/>
      <w:marTop w:val="0"/>
      <w:marBottom w:val="0"/>
      <w:divBdr>
        <w:top w:val="none" w:sz="0" w:space="0" w:color="auto"/>
        <w:left w:val="none" w:sz="0" w:space="0" w:color="auto"/>
        <w:bottom w:val="none" w:sz="0" w:space="0" w:color="auto"/>
        <w:right w:val="none" w:sz="0" w:space="0" w:color="auto"/>
      </w:divBdr>
    </w:div>
    <w:div w:id="173231467">
      <w:bodyDiv w:val="1"/>
      <w:marLeft w:val="0"/>
      <w:marRight w:val="0"/>
      <w:marTop w:val="0"/>
      <w:marBottom w:val="0"/>
      <w:divBdr>
        <w:top w:val="none" w:sz="0" w:space="0" w:color="auto"/>
        <w:left w:val="none" w:sz="0" w:space="0" w:color="auto"/>
        <w:bottom w:val="none" w:sz="0" w:space="0" w:color="auto"/>
        <w:right w:val="none" w:sz="0" w:space="0" w:color="auto"/>
      </w:divBdr>
    </w:div>
    <w:div w:id="277492665">
      <w:bodyDiv w:val="1"/>
      <w:marLeft w:val="0"/>
      <w:marRight w:val="0"/>
      <w:marTop w:val="0"/>
      <w:marBottom w:val="0"/>
      <w:divBdr>
        <w:top w:val="none" w:sz="0" w:space="0" w:color="auto"/>
        <w:left w:val="none" w:sz="0" w:space="0" w:color="auto"/>
        <w:bottom w:val="none" w:sz="0" w:space="0" w:color="auto"/>
        <w:right w:val="none" w:sz="0" w:space="0" w:color="auto"/>
      </w:divBdr>
    </w:div>
    <w:div w:id="284846527">
      <w:bodyDiv w:val="1"/>
      <w:marLeft w:val="0"/>
      <w:marRight w:val="0"/>
      <w:marTop w:val="0"/>
      <w:marBottom w:val="0"/>
      <w:divBdr>
        <w:top w:val="none" w:sz="0" w:space="0" w:color="auto"/>
        <w:left w:val="none" w:sz="0" w:space="0" w:color="auto"/>
        <w:bottom w:val="none" w:sz="0" w:space="0" w:color="auto"/>
        <w:right w:val="none" w:sz="0" w:space="0" w:color="auto"/>
      </w:divBdr>
    </w:div>
    <w:div w:id="311914611">
      <w:bodyDiv w:val="1"/>
      <w:marLeft w:val="0"/>
      <w:marRight w:val="0"/>
      <w:marTop w:val="0"/>
      <w:marBottom w:val="0"/>
      <w:divBdr>
        <w:top w:val="none" w:sz="0" w:space="0" w:color="auto"/>
        <w:left w:val="none" w:sz="0" w:space="0" w:color="auto"/>
        <w:bottom w:val="none" w:sz="0" w:space="0" w:color="auto"/>
        <w:right w:val="none" w:sz="0" w:space="0" w:color="auto"/>
      </w:divBdr>
    </w:div>
    <w:div w:id="439574195">
      <w:marLeft w:val="0"/>
      <w:marRight w:val="0"/>
      <w:marTop w:val="0"/>
      <w:marBottom w:val="0"/>
      <w:divBdr>
        <w:top w:val="none" w:sz="0" w:space="0" w:color="auto"/>
        <w:left w:val="none" w:sz="0" w:space="0" w:color="auto"/>
        <w:bottom w:val="none" w:sz="0" w:space="0" w:color="auto"/>
        <w:right w:val="none" w:sz="0" w:space="0" w:color="auto"/>
      </w:divBdr>
    </w:div>
    <w:div w:id="439574197">
      <w:marLeft w:val="0"/>
      <w:marRight w:val="0"/>
      <w:marTop w:val="0"/>
      <w:marBottom w:val="0"/>
      <w:divBdr>
        <w:top w:val="none" w:sz="0" w:space="0" w:color="auto"/>
        <w:left w:val="none" w:sz="0" w:space="0" w:color="auto"/>
        <w:bottom w:val="none" w:sz="0" w:space="0" w:color="auto"/>
        <w:right w:val="none" w:sz="0" w:space="0" w:color="auto"/>
      </w:divBdr>
    </w:div>
    <w:div w:id="439574198">
      <w:marLeft w:val="0"/>
      <w:marRight w:val="0"/>
      <w:marTop w:val="0"/>
      <w:marBottom w:val="0"/>
      <w:divBdr>
        <w:top w:val="none" w:sz="0" w:space="0" w:color="auto"/>
        <w:left w:val="none" w:sz="0" w:space="0" w:color="auto"/>
        <w:bottom w:val="none" w:sz="0" w:space="0" w:color="auto"/>
        <w:right w:val="none" w:sz="0" w:space="0" w:color="auto"/>
      </w:divBdr>
      <w:divsChild>
        <w:div w:id="439574196">
          <w:marLeft w:val="0"/>
          <w:marRight w:val="0"/>
          <w:marTop w:val="0"/>
          <w:marBottom w:val="0"/>
          <w:divBdr>
            <w:top w:val="none" w:sz="0" w:space="0" w:color="auto"/>
            <w:left w:val="none" w:sz="0" w:space="0" w:color="auto"/>
            <w:bottom w:val="none" w:sz="0" w:space="0" w:color="auto"/>
            <w:right w:val="none" w:sz="0" w:space="0" w:color="auto"/>
          </w:divBdr>
        </w:div>
      </w:divsChild>
    </w:div>
    <w:div w:id="439574199">
      <w:marLeft w:val="0"/>
      <w:marRight w:val="0"/>
      <w:marTop w:val="0"/>
      <w:marBottom w:val="0"/>
      <w:divBdr>
        <w:top w:val="none" w:sz="0" w:space="0" w:color="auto"/>
        <w:left w:val="none" w:sz="0" w:space="0" w:color="auto"/>
        <w:bottom w:val="none" w:sz="0" w:space="0" w:color="auto"/>
        <w:right w:val="none" w:sz="0" w:space="0" w:color="auto"/>
      </w:divBdr>
    </w:div>
    <w:div w:id="439574201">
      <w:marLeft w:val="0"/>
      <w:marRight w:val="0"/>
      <w:marTop w:val="0"/>
      <w:marBottom w:val="0"/>
      <w:divBdr>
        <w:top w:val="none" w:sz="0" w:space="0" w:color="auto"/>
        <w:left w:val="none" w:sz="0" w:space="0" w:color="auto"/>
        <w:bottom w:val="none" w:sz="0" w:space="0" w:color="auto"/>
        <w:right w:val="none" w:sz="0" w:space="0" w:color="auto"/>
      </w:divBdr>
    </w:div>
    <w:div w:id="439574202">
      <w:marLeft w:val="0"/>
      <w:marRight w:val="0"/>
      <w:marTop w:val="0"/>
      <w:marBottom w:val="0"/>
      <w:divBdr>
        <w:top w:val="none" w:sz="0" w:space="0" w:color="auto"/>
        <w:left w:val="none" w:sz="0" w:space="0" w:color="auto"/>
        <w:bottom w:val="none" w:sz="0" w:space="0" w:color="auto"/>
        <w:right w:val="none" w:sz="0" w:space="0" w:color="auto"/>
      </w:divBdr>
    </w:div>
    <w:div w:id="439574204">
      <w:marLeft w:val="0"/>
      <w:marRight w:val="0"/>
      <w:marTop w:val="0"/>
      <w:marBottom w:val="0"/>
      <w:divBdr>
        <w:top w:val="none" w:sz="0" w:space="0" w:color="auto"/>
        <w:left w:val="none" w:sz="0" w:space="0" w:color="auto"/>
        <w:bottom w:val="none" w:sz="0" w:space="0" w:color="auto"/>
        <w:right w:val="none" w:sz="0" w:space="0" w:color="auto"/>
      </w:divBdr>
    </w:div>
    <w:div w:id="439574206">
      <w:marLeft w:val="0"/>
      <w:marRight w:val="0"/>
      <w:marTop w:val="0"/>
      <w:marBottom w:val="0"/>
      <w:divBdr>
        <w:top w:val="none" w:sz="0" w:space="0" w:color="auto"/>
        <w:left w:val="none" w:sz="0" w:space="0" w:color="auto"/>
        <w:bottom w:val="none" w:sz="0" w:space="0" w:color="auto"/>
        <w:right w:val="none" w:sz="0" w:space="0" w:color="auto"/>
      </w:divBdr>
    </w:div>
    <w:div w:id="439574207">
      <w:marLeft w:val="0"/>
      <w:marRight w:val="0"/>
      <w:marTop w:val="0"/>
      <w:marBottom w:val="0"/>
      <w:divBdr>
        <w:top w:val="none" w:sz="0" w:space="0" w:color="auto"/>
        <w:left w:val="none" w:sz="0" w:space="0" w:color="auto"/>
        <w:bottom w:val="none" w:sz="0" w:space="0" w:color="auto"/>
        <w:right w:val="none" w:sz="0" w:space="0" w:color="auto"/>
      </w:divBdr>
    </w:div>
    <w:div w:id="439574208">
      <w:marLeft w:val="0"/>
      <w:marRight w:val="0"/>
      <w:marTop w:val="0"/>
      <w:marBottom w:val="0"/>
      <w:divBdr>
        <w:top w:val="none" w:sz="0" w:space="0" w:color="auto"/>
        <w:left w:val="none" w:sz="0" w:space="0" w:color="auto"/>
        <w:bottom w:val="none" w:sz="0" w:space="0" w:color="auto"/>
        <w:right w:val="none" w:sz="0" w:space="0" w:color="auto"/>
      </w:divBdr>
    </w:div>
    <w:div w:id="439574209">
      <w:marLeft w:val="0"/>
      <w:marRight w:val="0"/>
      <w:marTop w:val="0"/>
      <w:marBottom w:val="0"/>
      <w:divBdr>
        <w:top w:val="none" w:sz="0" w:space="0" w:color="auto"/>
        <w:left w:val="none" w:sz="0" w:space="0" w:color="auto"/>
        <w:bottom w:val="none" w:sz="0" w:space="0" w:color="auto"/>
        <w:right w:val="none" w:sz="0" w:space="0" w:color="auto"/>
      </w:divBdr>
      <w:divsChild>
        <w:div w:id="439574205">
          <w:marLeft w:val="0"/>
          <w:marRight w:val="0"/>
          <w:marTop w:val="0"/>
          <w:marBottom w:val="0"/>
          <w:divBdr>
            <w:top w:val="none" w:sz="0" w:space="0" w:color="auto"/>
            <w:left w:val="none" w:sz="0" w:space="0" w:color="auto"/>
            <w:bottom w:val="none" w:sz="0" w:space="0" w:color="auto"/>
            <w:right w:val="none" w:sz="0" w:space="0" w:color="auto"/>
          </w:divBdr>
        </w:div>
      </w:divsChild>
    </w:div>
    <w:div w:id="439574210">
      <w:marLeft w:val="0"/>
      <w:marRight w:val="0"/>
      <w:marTop w:val="0"/>
      <w:marBottom w:val="0"/>
      <w:divBdr>
        <w:top w:val="none" w:sz="0" w:space="0" w:color="auto"/>
        <w:left w:val="none" w:sz="0" w:space="0" w:color="auto"/>
        <w:bottom w:val="none" w:sz="0" w:space="0" w:color="auto"/>
        <w:right w:val="none" w:sz="0" w:space="0" w:color="auto"/>
      </w:divBdr>
      <w:divsChild>
        <w:div w:id="439574200">
          <w:marLeft w:val="0"/>
          <w:marRight w:val="0"/>
          <w:marTop w:val="0"/>
          <w:marBottom w:val="0"/>
          <w:divBdr>
            <w:top w:val="none" w:sz="0" w:space="0" w:color="auto"/>
            <w:left w:val="none" w:sz="0" w:space="0" w:color="auto"/>
            <w:bottom w:val="none" w:sz="0" w:space="0" w:color="auto"/>
            <w:right w:val="none" w:sz="0" w:space="0" w:color="auto"/>
          </w:divBdr>
          <w:divsChild>
            <w:div w:id="4395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74211">
      <w:marLeft w:val="0"/>
      <w:marRight w:val="0"/>
      <w:marTop w:val="0"/>
      <w:marBottom w:val="0"/>
      <w:divBdr>
        <w:top w:val="none" w:sz="0" w:space="0" w:color="auto"/>
        <w:left w:val="none" w:sz="0" w:space="0" w:color="auto"/>
        <w:bottom w:val="none" w:sz="0" w:space="0" w:color="auto"/>
        <w:right w:val="none" w:sz="0" w:space="0" w:color="auto"/>
      </w:divBdr>
    </w:div>
    <w:div w:id="649557278">
      <w:bodyDiv w:val="1"/>
      <w:marLeft w:val="0"/>
      <w:marRight w:val="0"/>
      <w:marTop w:val="0"/>
      <w:marBottom w:val="0"/>
      <w:divBdr>
        <w:top w:val="none" w:sz="0" w:space="0" w:color="auto"/>
        <w:left w:val="none" w:sz="0" w:space="0" w:color="auto"/>
        <w:bottom w:val="none" w:sz="0" w:space="0" w:color="auto"/>
        <w:right w:val="none" w:sz="0" w:space="0" w:color="auto"/>
      </w:divBdr>
    </w:div>
    <w:div w:id="740366375">
      <w:bodyDiv w:val="1"/>
      <w:marLeft w:val="0"/>
      <w:marRight w:val="0"/>
      <w:marTop w:val="0"/>
      <w:marBottom w:val="0"/>
      <w:divBdr>
        <w:top w:val="none" w:sz="0" w:space="0" w:color="auto"/>
        <w:left w:val="none" w:sz="0" w:space="0" w:color="auto"/>
        <w:bottom w:val="none" w:sz="0" w:space="0" w:color="auto"/>
        <w:right w:val="none" w:sz="0" w:space="0" w:color="auto"/>
      </w:divBdr>
    </w:div>
    <w:div w:id="965967612">
      <w:bodyDiv w:val="1"/>
      <w:marLeft w:val="0"/>
      <w:marRight w:val="0"/>
      <w:marTop w:val="0"/>
      <w:marBottom w:val="0"/>
      <w:divBdr>
        <w:top w:val="none" w:sz="0" w:space="0" w:color="auto"/>
        <w:left w:val="none" w:sz="0" w:space="0" w:color="auto"/>
        <w:bottom w:val="none" w:sz="0" w:space="0" w:color="auto"/>
        <w:right w:val="none" w:sz="0" w:space="0" w:color="auto"/>
      </w:divBdr>
    </w:div>
    <w:div w:id="1023167169">
      <w:bodyDiv w:val="1"/>
      <w:marLeft w:val="0"/>
      <w:marRight w:val="0"/>
      <w:marTop w:val="0"/>
      <w:marBottom w:val="0"/>
      <w:divBdr>
        <w:top w:val="none" w:sz="0" w:space="0" w:color="auto"/>
        <w:left w:val="none" w:sz="0" w:space="0" w:color="auto"/>
        <w:bottom w:val="none" w:sz="0" w:space="0" w:color="auto"/>
        <w:right w:val="none" w:sz="0" w:space="0" w:color="auto"/>
      </w:divBdr>
    </w:div>
    <w:div w:id="1327517704">
      <w:bodyDiv w:val="1"/>
      <w:marLeft w:val="0"/>
      <w:marRight w:val="0"/>
      <w:marTop w:val="0"/>
      <w:marBottom w:val="0"/>
      <w:divBdr>
        <w:top w:val="none" w:sz="0" w:space="0" w:color="auto"/>
        <w:left w:val="none" w:sz="0" w:space="0" w:color="auto"/>
        <w:bottom w:val="none" w:sz="0" w:space="0" w:color="auto"/>
        <w:right w:val="none" w:sz="0" w:space="0" w:color="auto"/>
      </w:divBdr>
    </w:div>
    <w:div w:id="1402294846">
      <w:bodyDiv w:val="1"/>
      <w:marLeft w:val="0"/>
      <w:marRight w:val="0"/>
      <w:marTop w:val="0"/>
      <w:marBottom w:val="0"/>
      <w:divBdr>
        <w:top w:val="none" w:sz="0" w:space="0" w:color="auto"/>
        <w:left w:val="none" w:sz="0" w:space="0" w:color="auto"/>
        <w:bottom w:val="none" w:sz="0" w:space="0" w:color="auto"/>
        <w:right w:val="none" w:sz="0" w:space="0" w:color="auto"/>
      </w:divBdr>
    </w:div>
    <w:div w:id="1626083856">
      <w:bodyDiv w:val="1"/>
      <w:marLeft w:val="0"/>
      <w:marRight w:val="0"/>
      <w:marTop w:val="0"/>
      <w:marBottom w:val="0"/>
      <w:divBdr>
        <w:top w:val="none" w:sz="0" w:space="0" w:color="auto"/>
        <w:left w:val="none" w:sz="0" w:space="0" w:color="auto"/>
        <w:bottom w:val="none" w:sz="0" w:space="0" w:color="auto"/>
        <w:right w:val="none" w:sz="0" w:space="0" w:color="auto"/>
      </w:divBdr>
    </w:div>
    <w:div w:id="1630865121">
      <w:bodyDiv w:val="1"/>
      <w:marLeft w:val="0"/>
      <w:marRight w:val="0"/>
      <w:marTop w:val="0"/>
      <w:marBottom w:val="0"/>
      <w:divBdr>
        <w:top w:val="none" w:sz="0" w:space="0" w:color="auto"/>
        <w:left w:val="none" w:sz="0" w:space="0" w:color="auto"/>
        <w:bottom w:val="none" w:sz="0" w:space="0" w:color="auto"/>
        <w:right w:val="none" w:sz="0" w:space="0" w:color="auto"/>
      </w:divBdr>
    </w:div>
    <w:div w:id="1633828830">
      <w:bodyDiv w:val="1"/>
      <w:marLeft w:val="0"/>
      <w:marRight w:val="0"/>
      <w:marTop w:val="0"/>
      <w:marBottom w:val="0"/>
      <w:divBdr>
        <w:top w:val="none" w:sz="0" w:space="0" w:color="auto"/>
        <w:left w:val="none" w:sz="0" w:space="0" w:color="auto"/>
        <w:bottom w:val="none" w:sz="0" w:space="0" w:color="auto"/>
        <w:right w:val="none" w:sz="0" w:space="0" w:color="auto"/>
      </w:divBdr>
    </w:div>
    <w:div w:id="206818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tif"/><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B670A-034E-4EDF-814B-20E419D4D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5450</TotalTime>
  <Pages>27</Pages>
  <Words>7162</Words>
  <Characters>47274</Characters>
  <Application>Microsoft Office Word</Application>
  <DocSecurity>0</DocSecurity>
  <Lines>801</Lines>
  <Paragraphs>210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Numeričke metode temeljene na interpolacijskim formulama</vt:lpstr>
      <vt:lpstr>Numeričke metode temeljene na interpolacijskim formulama</vt:lpstr>
    </vt:vector>
  </TitlesOfParts>
  <Company>HP</Company>
  <LinksUpToDate>false</LinksUpToDate>
  <CharactersWithSpaces>54226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Numeričke metode temeljene na interpolacijskim formulama</dc:title>
  <dc:creator>a</dc:creator>
  <cp:lastModifiedBy>filip.franjo filip.franjo</cp:lastModifiedBy>
  <cp:revision>821</cp:revision>
  <cp:lastPrinted>2013-08-28T10:43:00Z</cp:lastPrinted>
  <dcterms:created xsi:type="dcterms:W3CDTF">2017-03-17T14:20:00Z</dcterms:created>
  <dcterms:modified xsi:type="dcterms:W3CDTF">2025-04-19T16:05:00Z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[Styles]Text=EuclidFunction=EuclidVariable=Euclid,ILCGreek=Euclid Symbol,IUCGreek=Euclid SymbolSymbol=Euclid SymbolVector=Euclid,BNumber=EuclidUser1=Courier NewUser2=Times New RomanMTExtra=Euclid Extra[Sizes]Full=9 ptScript=7</vt:lpwstr>
  </property>
  <property fmtid="{D5CDD505-2E9C-101B-9397-08002B2CF9AE}" pid="3" name="MTPreferences 1">
    <vt:lpwstr>0 %ScriptScript=50 %Symbol=150 %SubSymbol=100 %User1=75 %User2=150 %SmallLargeIncr=1 pt[Spacing]LineSpacing=150 %MatrixRowSpacing=150 %MatrixColSpacing=100 %SuperscriptHeight=40 %SubscriptDepth=20 %SubSupGap=8 %LimHeight=40 %</vt:lpwstr>
  </property>
  <property fmtid="{D5CDD505-2E9C-101B-9397-08002B2CF9AE}" pid="4" name="MTPreferences 2">
    <vt:lpwstr>LimDepth=90 %LimLineSpacing=100 %NumerHeight=35 %DenomDepth=90 %FractBarOver=5 %FractBarThick=5 %SubFractBarThick=2,5 %FractGap=8 %FenceOver=0 %OperSpacing=120 %NonOperSpacing=100 %CharWidth=0 %MinGap=8 %VertRadGap=10 %HorizR</vt:lpwstr>
  </property>
  <property fmtid="{D5CDD505-2E9C-101B-9397-08002B2CF9AE}" pid="5" name="MTPreferences 3">
    <vt:lpwstr>adGap=15 %RadWidth=100 %EmbellGap=12,5 %PrimeHeight=45 %BoxStrokeThick=5 %StikeThruThick=5 %MatrixLineThick=5 %RadStrokeThick=5 %HorizFenceGap=20 %</vt:lpwstr>
  </property>
  <property fmtid="{D5CDD505-2E9C-101B-9397-08002B2CF9AE}" pid="6" name="MTPreferenceSource">
    <vt:lpwstr>Table.eqp</vt:lpwstr>
  </property>
  <property fmtid="{D5CDD505-2E9C-101B-9397-08002B2CF9AE}" pid="7" name="MTEquationNumber2">
    <vt:lpwstr>(#C1.#E1)</vt:lpwstr>
  </property>
  <property fmtid="{D5CDD505-2E9C-101B-9397-08002B2CF9AE}" pid="8" name="MTEquationSection">
    <vt:lpwstr>1</vt:lpwstr>
  </property>
  <property fmtid="{D5CDD505-2E9C-101B-9397-08002B2CF9AE}" pid="9" name="MTWinEqns">
    <vt:bool>true</vt:bool>
  </property>
  <property fmtid="{D5CDD505-2E9C-101B-9397-08002B2CF9AE}" pid="10" name="GrammarlyDocumentId">
    <vt:lpwstr>7ad08e305916ac90751acff83e01f9a127856d8e181aee0af40df2f25b8b0401</vt:lpwstr>
  </property>
  <property fmtid="{D5CDD505-2E9C-101B-9397-08002B2CF9AE}" pid="11" name="ZOTERO_PREF_1">
    <vt:lpwstr>&lt;data data-version="3" zotero-version="7.0.13"&gt;&lt;session id="Da1wSQXR"/&gt;&lt;style id="http://www.zotero.org/styles/ieee" locale="hr-HR" hasBibliography="1" bibliographyStyleHasBeenSet="1"/&gt;&lt;prefs&gt;&lt;pref name="fieldType" value="Field"/&gt;&lt;pref name="automaticJour</vt:lpwstr>
  </property>
  <property fmtid="{D5CDD505-2E9C-101B-9397-08002B2CF9AE}" pid="12" name="ZOTERO_PREF_2">
    <vt:lpwstr>nalAbbreviations" value="true"/&gt;&lt;/prefs&gt;&lt;/data&gt;</vt:lpwstr>
  </property>
</Properties>
</file>