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EA3D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2C76E7A6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68A19BB3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1ADF1E69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7C9E69B3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6449E3C6" w14:textId="1DAE8AED" w:rsidR="00064391" w:rsidRPr="00064391" w:rsidRDefault="00064391" w:rsidP="00064391">
      <w:pPr>
        <w:jc w:val="center"/>
        <w:rPr>
          <w:rFonts w:ascii="Times New Roman" w:hAnsi="Times New Roman" w:cs="Times New Roman"/>
          <w:b/>
          <w:sz w:val="36"/>
        </w:rPr>
      </w:pPr>
      <w:r w:rsidRPr="00064391">
        <w:rPr>
          <w:rFonts w:ascii="Times New Roman" w:hAnsi="Times New Roman" w:cs="Times New Roman"/>
          <w:b/>
          <w:sz w:val="36"/>
        </w:rPr>
        <w:t xml:space="preserve">Kemijski seminar </w:t>
      </w:r>
      <w:r w:rsidR="00B0622E">
        <w:rPr>
          <w:rFonts w:ascii="Times New Roman" w:hAnsi="Times New Roman" w:cs="Times New Roman"/>
          <w:b/>
          <w:sz w:val="36"/>
        </w:rPr>
        <w:t>1</w:t>
      </w:r>
    </w:p>
    <w:p w14:paraId="01B40491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721FD5C9" w14:textId="77777777" w:rsidR="00CF38E6" w:rsidRDefault="00CF38E6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4A59792E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658ABF89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16E2E535" w14:textId="77777777" w:rsidR="00064391" w:rsidRPr="00064391" w:rsidRDefault="00064391" w:rsidP="00064391">
      <w:pPr>
        <w:jc w:val="center"/>
        <w:rPr>
          <w:rFonts w:ascii="Times New Roman" w:hAnsi="Times New Roman" w:cs="Times New Roman"/>
          <w:b/>
          <w:sz w:val="40"/>
        </w:rPr>
      </w:pPr>
      <w:r w:rsidRPr="00064391">
        <w:rPr>
          <w:rFonts w:ascii="Times New Roman" w:hAnsi="Times New Roman" w:cs="Times New Roman"/>
          <w:b/>
          <w:sz w:val="40"/>
        </w:rPr>
        <w:t>Istraživanje bakrovih(II) kompleksa primjenom elektronske paramagnetske rezonancije</w:t>
      </w:r>
    </w:p>
    <w:p w14:paraId="197FCE17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571205CC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69753AD9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515F8B92" w14:textId="77777777" w:rsidR="00064391" w:rsidRDefault="00064391" w:rsidP="00064391">
      <w:pPr>
        <w:jc w:val="center"/>
        <w:rPr>
          <w:rFonts w:ascii="Times New Roman" w:hAnsi="Times New Roman" w:cs="Times New Roman"/>
          <w:b/>
          <w:sz w:val="28"/>
        </w:rPr>
      </w:pPr>
    </w:p>
    <w:p w14:paraId="597A39BA" w14:textId="77777777" w:rsidR="00064391" w:rsidRPr="00064391" w:rsidRDefault="00064391" w:rsidP="00064391">
      <w:pPr>
        <w:jc w:val="center"/>
        <w:rPr>
          <w:rFonts w:ascii="Times New Roman" w:hAnsi="Times New Roman" w:cs="Times New Roman"/>
          <w:sz w:val="32"/>
        </w:rPr>
      </w:pPr>
      <w:r w:rsidRPr="00064391">
        <w:rPr>
          <w:rFonts w:ascii="Times New Roman" w:hAnsi="Times New Roman" w:cs="Times New Roman"/>
          <w:sz w:val="32"/>
        </w:rPr>
        <w:t>David Kučera-Čavara</w:t>
      </w:r>
    </w:p>
    <w:p w14:paraId="41057EAB" w14:textId="77777777" w:rsidR="00064391" w:rsidRPr="00717CB2" w:rsidRDefault="00064391" w:rsidP="00064391">
      <w:pPr>
        <w:jc w:val="center"/>
        <w:rPr>
          <w:rFonts w:ascii="Times New Roman" w:hAnsi="Times New Roman" w:cs="Times New Roman"/>
          <w:sz w:val="28"/>
        </w:rPr>
      </w:pPr>
      <w:r w:rsidRPr="00717CB2">
        <w:rPr>
          <w:rFonts w:ascii="Times New Roman" w:hAnsi="Times New Roman" w:cs="Times New Roman"/>
          <w:sz w:val="28"/>
        </w:rPr>
        <w:t>Doktorski studij anorganske i strukturne kemije</w:t>
      </w:r>
    </w:p>
    <w:p w14:paraId="0AD947C2" w14:textId="77777777" w:rsidR="00717CB2" w:rsidRDefault="00717CB2" w:rsidP="00064391">
      <w:pPr>
        <w:jc w:val="center"/>
        <w:rPr>
          <w:rFonts w:ascii="Times New Roman" w:hAnsi="Times New Roman" w:cs="Times New Roman"/>
          <w:sz w:val="28"/>
        </w:rPr>
      </w:pPr>
      <w:r w:rsidRPr="00717CB2">
        <w:rPr>
          <w:rFonts w:ascii="Times New Roman" w:hAnsi="Times New Roman" w:cs="Times New Roman"/>
          <w:sz w:val="28"/>
        </w:rPr>
        <w:t>Mentor</w:t>
      </w:r>
      <w:r w:rsidR="002D2090">
        <w:rPr>
          <w:rFonts w:ascii="Times New Roman" w:hAnsi="Times New Roman" w:cs="Times New Roman"/>
          <w:sz w:val="28"/>
        </w:rPr>
        <w:t>ica</w:t>
      </w:r>
      <w:r w:rsidRPr="00717CB2">
        <w:rPr>
          <w:rFonts w:ascii="Times New Roman" w:hAnsi="Times New Roman" w:cs="Times New Roman"/>
          <w:sz w:val="28"/>
        </w:rPr>
        <w:t>: dr. sc. Dijana Žilić</w:t>
      </w:r>
    </w:p>
    <w:p w14:paraId="4CA28497" w14:textId="77777777" w:rsidR="00BF5C83" w:rsidRPr="00717CB2" w:rsidRDefault="00BF5C83" w:rsidP="0006439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Laboratorij za magnetske rezonancije, Institut Ruđer Bošković</w:t>
      </w:r>
    </w:p>
    <w:p w14:paraId="11C567A8" w14:textId="77777777" w:rsidR="00064391" w:rsidRPr="00DC48FF" w:rsidRDefault="007C76DB" w:rsidP="00064391">
      <w:pPr>
        <w:jc w:val="center"/>
        <w:rPr>
          <w:rFonts w:ascii="Times New Roman" w:hAnsi="Times New Roman" w:cs="Times New Roman"/>
          <w:color w:val="FFFFFF" w:themeColor="background1"/>
          <w:sz w:val="32"/>
        </w:rPr>
      </w:pPr>
      <w:r w:rsidRPr="00DC48FF">
        <w:rPr>
          <w:rFonts w:ascii="Times New Roman" w:hAnsi="Times New Roman" w:cs="Times New Roman"/>
          <w:color w:val="FFFFFF" w:themeColor="background1"/>
          <w:sz w:val="32"/>
        </w:rPr>
        <w:t>20</w:t>
      </w:r>
      <w:r w:rsidR="00064391" w:rsidRPr="00DC48FF">
        <w:rPr>
          <w:rFonts w:ascii="Times New Roman" w:hAnsi="Times New Roman" w:cs="Times New Roman"/>
          <w:color w:val="FFFFFF" w:themeColor="background1"/>
          <w:sz w:val="32"/>
        </w:rPr>
        <w:t xml:space="preserve">. </w:t>
      </w:r>
      <w:r w:rsidRPr="00DC48FF">
        <w:rPr>
          <w:rFonts w:ascii="Times New Roman" w:hAnsi="Times New Roman" w:cs="Times New Roman"/>
          <w:color w:val="FFFFFF" w:themeColor="background1"/>
          <w:sz w:val="32"/>
        </w:rPr>
        <w:t>svibnj</w:t>
      </w:r>
      <w:r w:rsidR="00064391" w:rsidRPr="00DC48FF">
        <w:rPr>
          <w:rFonts w:ascii="Times New Roman" w:hAnsi="Times New Roman" w:cs="Times New Roman"/>
          <w:color w:val="FFFFFF" w:themeColor="background1"/>
          <w:sz w:val="32"/>
        </w:rPr>
        <w:t>a 2026.</w:t>
      </w:r>
    </w:p>
    <w:p w14:paraId="3833508D" w14:textId="77777777" w:rsidR="006D02E8" w:rsidRDefault="00064391">
      <w:pPr>
        <w:rPr>
          <w:rFonts w:ascii="Times New Roman" w:hAnsi="Times New Roman" w:cs="Times New Roman"/>
          <w:b/>
          <w:sz w:val="32"/>
        </w:rPr>
      </w:pPr>
      <w:r w:rsidRPr="00064391">
        <w:rPr>
          <w:rFonts w:ascii="Times New Roman" w:hAnsi="Times New Roman" w:cs="Times New Roman"/>
          <w:b/>
          <w:sz w:val="32"/>
        </w:rPr>
        <w:br w:type="page"/>
      </w:r>
    </w:p>
    <w:p w14:paraId="10B9BB56" w14:textId="2A2C8D44" w:rsidR="006D02E8" w:rsidRDefault="006D02E8">
      <w:pPr>
        <w:rPr>
          <w:noProof/>
        </w:rPr>
      </w:pPr>
      <w:r w:rsidRPr="006D02E8">
        <w:rPr>
          <w:rFonts w:ascii="Times New Roman" w:hAnsi="Times New Roman" w:cs="Times New Roman"/>
          <w:b/>
          <w:color w:val="2E74B5" w:themeColor="accent1" w:themeShade="BF"/>
          <w:sz w:val="28"/>
          <w:szCs w:val="20"/>
        </w:rPr>
        <w:lastRenderedPageBreak/>
        <w:t>SADRŽAJ</w:t>
      </w:r>
      <w:r w:rsidR="0089798E">
        <w:rPr>
          <w:rFonts w:ascii="Times New Roman" w:hAnsi="Times New Roman" w:cs="Times New Roman"/>
          <w:b/>
          <w:sz w:val="32"/>
        </w:rPr>
        <w:fldChar w:fldCharType="begin"/>
      </w:r>
      <w:r w:rsidR="0089798E">
        <w:rPr>
          <w:rFonts w:ascii="Times New Roman" w:hAnsi="Times New Roman" w:cs="Times New Roman"/>
          <w:b/>
          <w:sz w:val="32"/>
        </w:rPr>
        <w:instrText xml:space="preserve"> TOC \h \z \t "Style2,1,Style3,2" </w:instrText>
      </w:r>
      <w:r w:rsidR="0089798E">
        <w:rPr>
          <w:rFonts w:ascii="Times New Roman" w:hAnsi="Times New Roman" w:cs="Times New Roman"/>
          <w:b/>
          <w:sz w:val="32"/>
        </w:rPr>
        <w:fldChar w:fldCharType="separate"/>
      </w:r>
    </w:p>
    <w:p w14:paraId="40548E2F" w14:textId="71012DB9" w:rsidR="006D02E8" w:rsidRPr="006D02E8" w:rsidRDefault="00A25A95" w:rsidP="006D02E8">
      <w:pPr>
        <w:pStyle w:val="TOC1"/>
        <w:rPr>
          <w:rFonts w:ascii="Times New Roman" w:eastAsiaTheme="minorEastAsia" w:hAnsi="Times New Roman" w:cs="Times New Roman"/>
          <w:noProof/>
          <w:color w:val="2E74B5" w:themeColor="accent1" w:themeShade="BF"/>
          <w:kern w:val="2"/>
          <w:sz w:val="32"/>
          <w:szCs w:val="32"/>
          <w:lang w:val="en-GB" w:eastAsia="en-GB"/>
          <w14:ligatures w14:val="standardContextual"/>
        </w:rPr>
      </w:pPr>
      <w:hyperlink w:anchor="_Toc227847311" w:history="1">
        <w:r w:rsidR="006D02E8" w:rsidRPr="006D02E8">
          <w:rPr>
            <w:rStyle w:val="Hyperlink"/>
            <w:rFonts w:ascii="Times New Roman" w:hAnsi="Times New Roman" w:cs="Times New Roman"/>
            <w:noProof/>
            <w:color w:val="2E74B5" w:themeColor="accent1" w:themeShade="BF"/>
            <w:sz w:val="24"/>
            <w:szCs w:val="24"/>
          </w:rPr>
          <w:t>1.</w:t>
        </w:r>
        <w:r w:rsidR="006D02E8" w:rsidRPr="006D02E8">
          <w:rPr>
            <w:rFonts w:ascii="Times New Roman" w:eastAsiaTheme="minorEastAsia" w:hAnsi="Times New Roman" w:cs="Times New Roman"/>
            <w:noProof/>
            <w:color w:val="2E74B5" w:themeColor="accent1" w:themeShade="BF"/>
            <w:kern w:val="2"/>
            <w:sz w:val="32"/>
            <w:szCs w:val="32"/>
            <w:lang w:val="en-GB" w:eastAsia="en-GB"/>
            <w14:ligatures w14:val="standardContextual"/>
          </w:rPr>
          <w:tab/>
        </w:r>
        <w:r w:rsidR="006D02E8" w:rsidRPr="006D02E8">
          <w:rPr>
            <w:rStyle w:val="Hyperlink"/>
            <w:rFonts w:ascii="Times New Roman" w:hAnsi="Times New Roman" w:cs="Times New Roman"/>
            <w:noProof/>
            <w:color w:val="2E74B5" w:themeColor="accent1" w:themeShade="BF"/>
            <w:sz w:val="24"/>
            <w:szCs w:val="24"/>
          </w:rPr>
          <w:t>UVOD</w: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tab/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begin"/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instrText xml:space="preserve"> PAGEREF _Toc227847311 \h </w:instrTex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separate"/>
        </w:r>
        <w:r w:rsidR="0027102B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t>2</w: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end"/>
        </w:r>
      </w:hyperlink>
    </w:p>
    <w:p w14:paraId="06DF86E8" w14:textId="362D2848" w:rsidR="006D02E8" w:rsidRPr="006D02E8" w:rsidRDefault="00A25A95" w:rsidP="006D02E8">
      <w:pPr>
        <w:pStyle w:val="TOC1"/>
        <w:rPr>
          <w:rFonts w:ascii="Times New Roman" w:eastAsiaTheme="minorEastAsia" w:hAnsi="Times New Roman" w:cs="Times New Roman"/>
          <w:noProof/>
          <w:color w:val="2E74B5" w:themeColor="accent1" w:themeShade="BF"/>
          <w:kern w:val="2"/>
          <w:sz w:val="32"/>
          <w:szCs w:val="32"/>
          <w:lang w:val="en-GB" w:eastAsia="en-GB"/>
          <w14:ligatures w14:val="standardContextual"/>
        </w:rPr>
      </w:pPr>
      <w:hyperlink w:anchor="_Toc227847312" w:history="1">
        <w:r w:rsidR="006D02E8" w:rsidRPr="006D02E8">
          <w:rPr>
            <w:rStyle w:val="Hyperlink"/>
            <w:rFonts w:ascii="Times New Roman" w:hAnsi="Times New Roman" w:cs="Times New Roman"/>
            <w:noProof/>
            <w:color w:val="2E74B5" w:themeColor="accent1" w:themeShade="BF"/>
            <w:sz w:val="24"/>
            <w:szCs w:val="24"/>
          </w:rPr>
          <w:t>2.</w:t>
        </w:r>
        <w:r w:rsidR="006D02E8" w:rsidRPr="006D02E8">
          <w:rPr>
            <w:rFonts w:ascii="Times New Roman" w:eastAsiaTheme="minorEastAsia" w:hAnsi="Times New Roman" w:cs="Times New Roman"/>
            <w:noProof/>
            <w:color w:val="2E74B5" w:themeColor="accent1" w:themeShade="BF"/>
            <w:kern w:val="2"/>
            <w:sz w:val="32"/>
            <w:szCs w:val="32"/>
            <w:lang w:val="en-GB" w:eastAsia="en-GB"/>
            <w14:ligatures w14:val="standardContextual"/>
          </w:rPr>
          <w:tab/>
        </w:r>
        <w:r w:rsidR="006D02E8" w:rsidRPr="006D02E8">
          <w:rPr>
            <w:rStyle w:val="Hyperlink"/>
            <w:rFonts w:ascii="Times New Roman" w:hAnsi="Times New Roman" w:cs="Times New Roman"/>
            <w:noProof/>
            <w:color w:val="2E74B5" w:themeColor="accent1" w:themeShade="BF"/>
            <w:sz w:val="24"/>
            <w:szCs w:val="24"/>
          </w:rPr>
          <w:t>LITERATURNI PREGLED</w: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tab/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begin"/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instrText xml:space="preserve"> PAGEREF _Toc227847312 \h </w:instrTex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separate"/>
        </w:r>
        <w:r w:rsidR="0027102B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t>2</w: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end"/>
        </w:r>
      </w:hyperlink>
    </w:p>
    <w:p w14:paraId="48471FFD" w14:textId="29123430" w:rsidR="006D02E8" w:rsidRPr="006D02E8" w:rsidRDefault="00A25A95">
      <w:pPr>
        <w:pStyle w:val="TOC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i/>
          <w:iCs/>
          <w:smallCaps w:val="0"/>
          <w:noProof/>
          <w:kern w:val="2"/>
          <w:sz w:val="32"/>
          <w:szCs w:val="32"/>
          <w:lang w:val="en-GB" w:eastAsia="en-GB"/>
          <w14:ligatures w14:val="standardContextual"/>
        </w:rPr>
      </w:pPr>
      <w:hyperlink w:anchor="_Toc227847313" w:history="1">
        <w:r w:rsidR="006D02E8" w:rsidRPr="006D02E8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2.1</w:t>
        </w:r>
        <w:r w:rsidR="006D02E8" w:rsidRPr="006D02E8">
          <w:rPr>
            <w:rFonts w:ascii="Times New Roman" w:eastAsiaTheme="minorEastAsia" w:hAnsi="Times New Roman" w:cs="Times New Roman"/>
            <w:i/>
            <w:iCs/>
            <w:smallCaps w:val="0"/>
            <w:noProof/>
            <w:kern w:val="2"/>
            <w:sz w:val="32"/>
            <w:szCs w:val="32"/>
            <w:lang w:val="en-GB" w:eastAsia="en-GB"/>
            <w14:ligatures w14:val="standardContextual"/>
          </w:rPr>
          <w:tab/>
        </w:r>
        <w:r w:rsidR="006D02E8" w:rsidRPr="006D02E8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Spektroskopska metoda elektronske paramagnetske rezonancije</w:t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tab/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fldChar w:fldCharType="begin"/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instrText xml:space="preserve"> PAGEREF _Toc227847313 \h </w:instrText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fldChar w:fldCharType="separate"/>
        </w:r>
        <w:r w:rsidR="0027102B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t>2</w:t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fldChar w:fldCharType="end"/>
        </w:r>
      </w:hyperlink>
    </w:p>
    <w:p w14:paraId="6BA2FF1B" w14:textId="62777917" w:rsidR="006D02E8" w:rsidRPr="006D02E8" w:rsidRDefault="00A25A95">
      <w:pPr>
        <w:pStyle w:val="TOC2"/>
        <w:tabs>
          <w:tab w:val="left" w:pos="880"/>
          <w:tab w:val="right" w:leader="dot" w:pos="9062"/>
        </w:tabs>
        <w:rPr>
          <w:rFonts w:ascii="Times New Roman" w:eastAsiaTheme="minorEastAsia" w:hAnsi="Times New Roman" w:cs="Times New Roman"/>
          <w:i/>
          <w:iCs/>
          <w:smallCaps w:val="0"/>
          <w:noProof/>
          <w:kern w:val="2"/>
          <w:sz w:val="32"/>
          <w:szCs w:val="32"/>
          <w:lang w:val="en-GB" w:eastAsia="en-GB"/>
          <w14:ligatures w14:val="standardContextual"/>
        </w:rPr>
      </w:pPr>
      <w:hyperlink w:anchor="_Toc227847314" w:history="1">
        <w:r w:rsidR="006D02E8" w:rsidRPr="006D02E8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2.2</w:t>
        </w:r>
        <w:r w:rsidR="006D02E8" w:rsidRPr="006D02E8">
          <w:rPr>
            <w:rFonts w:ascii="Times New Roman" w:eastAsiaTheme="minorEastAsia" w:hAnsi="Times New Roman" w:cs="Times New Roman"/>
            <w:i/>
            <w:iCs/>
            <w:smallCaps w:val="0"/>
            <w:noProof/>
            <w:kern w:val="2"/>
            <w:sz w:val="32"/>
            <w:szCs w:val="32"/>
            <w:lang w:val="en-GB" w:eastAsia="en-GB"/>
            <w14:ligatures w14:val="standardContextual"/>
          </w:rPr>
          <w:tab/>
        </w:r>
        <w:r w:rsidR="006D02E8" w:rsidRPr="006D02E8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Analiza kompleksa bakra EPR spektroskopijom</w:t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tab/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fldChar w:fldCharType="begin"/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instrText xml:space="preserve"> PAGEREF _Toc227847314 \h </w:instrText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fldChar w:fldCharType="separate"/>
        </w:r>
        <w:r w:rsidR="0027102B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t>6</w:t>
        </w:r>
        <w:r w:rsidR="006D02E8" w:rsidRPr="006D02E8">
          <w:rPr>
            <w:rFonts w:ascii="Times New Roman" w:hAnsi="Times New Roman" w:cs="Times New Roman"/>
            <w:i/>
            <w:iCs/>
            <w:noProof/>
            <w:webHidden/>
            <w:sz w:val="24"/>
            <w:szCs w:val="24"/>
          </w:rPr>
          <w:fldChar w:fldCharType="end"/>
        </w:r>
      </w:hyperlink>
    </w:p>
    <w:p w14:paraId="6721929C" w14:textId="289893C0" w:rsidR="006D02E8" w:rsidRPr="006D02E8" w:rsidRDefault="00A25A95" w:rsidP="006D02E8">
      <w:pPr>
        <w:pStyle w:val="TOC1"/>
        <w:rPr>
          <w:rFonts w:ascii="Times New Roman" w:eastAsiaTheme="minorEastAsia" w:hAnsi="Times New Roman" w:cs="Times New Roman"/>
          <w:noProof/>
          <w:color w:val="2E74B5" w:themeColor="accent1" w:themeShade="BF"/>
          <w:kern w:val="2"/>
          <w:sz w:val="32"/>
          <w:szCs w:val="32"/>
          <w:lang w:val="en-GB" w:eastAsia="en-GB"/>
          <w14:ligatures w14:val="standardContextual"/>
        </w:rPr>
      </w:pPr>
      <w:hyperlink w:anchor="_Toc227847315" w:history="1">
        <w:r w:rsidR="006D02E8" w:rsidRPr="006D02E8">
          <w:rPr>
            <w:rStyle w:val="Hyperlink"/>
            <w:rFonts w:ascii="Times New Roman" w:hAnsi="Times New Roman" w:cs="Times New Roman"/>
            <w:noProof/>
            <w:color w:val="2E74B5" w:themeColor="accent1" w:themeShade="BF"/>
            <w:sz w:val="24"/>
            <w:szCs w:val="24"/>
          </w:rPr>
          <w:t>3.</w:t>
        </w:r>
        <w:r w:rsidR="006D02E8" w:rsidRPr="006D02E8">
          <w:rPr>
            <w:rFonts w:ascii="Times New Roman" w:eastAsiaTheme="minorEastAsia" w:hAnsi="Times New Roman" w:cs="Times New Roman"/>
            <w:noProof/>
            <w:color w:val="2E74B5" w:themeColor="accent1" w:themeShade="BF"/>
            <w:kern w:val="2"/>
            <w:sz w:val="32"/>
            <w:szCs w:val="32"/>
            <w:lang w:val="en-GB" w:eastAsia="en-GB"/>
            <w14:ligatures w14:val="standardContextual"/>
          </w:rPr>
          <w:tab/>
        </w:r>
        <w:r w:rsidR="006D02E8" w:rsidRPr="006D02E8">
          <w:rPr>
            <w:rStyle w:val="Hyperlink"/>
            <w:rFonts w:ascii="Times New Roman" w:hAnsi="Times New Roman" w:cs="Times New Roman"/>
            <w:noProof/>
            <w:color w:val="2E74B5" w:themeColor="accent1" w:themeShade="BF"/>
            <w:sz w:val="24"/>
            <w:szCs w:val="24"/>
          </w:rPr>
          <w:t>METODOLOGIJA</w: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tab/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begin"/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instrText xml:space="preserve"> PAGEREF _Toc227847315 \h </w:instrTex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separate"/>
        </w:r>
        <w:r w:rsidR="0027102B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t>8</w: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end"/>
        </w:r>
      </w:hyperlink>
    </w:p>
    <w:p w14:paraId="0E0268C8" w14:textId="534958EA" w:rsidR="006D02E8" w:rsidRPr="006D02E8" w:rsidRDefault="00A25A95" w:rsidP="006D02E8">
      <w:pPr>
        <w:pStyle w:val="TOC1"/>
        <w:rPr>
          <w:rFonts w:ascii="Times New Roman" w:eastAsiaTheme="minorEastAsia" w:hAnsi="Times New Roman" w:cs="Times New Roman"/>
          <w:noProof/>
          <w:color w:val="2E74B5" w:themeColor="accent1" w:themeShade="BF"/>
          <w:kern w:val="2"/>
          <w:sz w:val="32"/>
          <w:szCs w:val="32"/>
          <w:lang w:val="en-GB" w:eastAsia="en-GB"/>
          <w14:ligatures w14:val="standardContextual"/>
        </w:rPr>
      </w:pPr>
      <w:hyperlink w:anchor="_Toc227847316" w:history="1">
        <w:r w:rsidR="006D02E8" w:rsidRPr="006D02E8">
          <w:rPr>
            <w:rStyle w:val="Hyperlink"/>
            <w:rFonts w:ascii="Times New Roman" w:hAnsi="Times New Roman" w:cs="Times New Roman"/>
            <w:noProof/>
            <w:color w:val="2E74B5" w:themeColor="accent1" w:themeShade="BF"/>
            <w:sz w:val="24"/>
            <w:szCs w:val="24"/>
          </w:rPr>
          <w:t>4.</w:t>
        </w:r>
        <w:r w:rsidR="006D02E8" w:rsidRPr="006D02E8">
          <w:rPr>
            <w:rFonts w:ascii="Times New Roman" w:eastAsiaTheme="minorEastAsia" w:hAnsi="Times New Roman" w:cs="Times New Roman"/>
            <w:noProof/>
            <w:color w:val="2E74B5" w:themeColor="accent1" w:themeShade="BF"/>
            <w:kern w:val="2"/>
            <w:sz w:val="32"/>
            <w:szCs w:val="32"/>
            <w:lang w:val="en-GB" w:eastAsia="en-GB"/>
            <w14:ligatures w14:val="standardContextual"/>
          </w:rPr>
          <w:tab/>
        </w:r>
        <w:r w:rsidR="006D02E8" w:rsidRPr="006D02E8">
          <w:rPr>
            <w:rStyle w:val="Hyperlink"/>
            <w:rFonts w:ascii="Times New Roman" w:hAnsi="Times New Roman" w:cs="Times New Roman"/>
            <w:noProof/>
            <w:color w:val="2E74B5" w:themeColor="accent1" w:themeShade="BF"/>
            <w:sz w:val="24"/>
            <w:szCs w:val="24"/>
          </w:rPr>
          <w:t>ZAKLJUČAK</w: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tab/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begin"/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instrText xml:space="preserve"> PAGEREF _Toc227847316 \h </w:instrTex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separate"/>
        </w:r>
        <w:r w:rsidR="0027102B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t>11</w: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end"/>
        </w:r>
      </w:hyperlink>
    </w:p>
    <w:p w14:paraId="0D7A68AC" w14:textId="49DCCA87" w:rsidR="006D02E8" w:rsidRPr="006D02E8" w:rsidRDefault="00A25A95" w:rsidP="006D02E8">
      <w:pPr>
        <w:pStyle w:val="TOC1"/>
        <w:rPr>
          <w:rFonts w:ascii="Times New Roman" w:eastAsiaTheme="minorEastAsia" w:hAnsi="Times New Roman" w:cs="Times New Roman"/>
          <w:noProof/>
          <w:color w:val="2E74B5" w:themeColor="accent1" w:themeShade="BF"/>
          <w:kern w:val="2"/>
          <w:sz w:val="32"/>
          <w:szCs w:val="32"/>
          <w:lang w:val="en-GB" w:eastAsia="en-GB"/>
          <w14:ligatures w14:val="standardContextual"/>
        </w:rPr>
      </w:pPr>
      <w:hyperlink w:anchor="_Toc227847317" w:history="1">
        <w:r w:rsidR="006D02E8" w:rsidRPr="006D02E8">
          <w:rPr>
            <w:rStyle w:val="Hyperlink"/>
            <w:rFonts w:ascii="Times New Roman" w:hAnsi="Times New Roman" w:cs="Times New Roman"/>
            <w:noProof/>
            <w:color w:val="2E74B5" w:themeColor="accent1" w:themeShade="BF"/>
            <w:sz w:val="24"/>
            <w:szCs w:val="24"/>
          </w:rPr>
          <w:t>Literatura</w: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tab/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begin"/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instrText xml:space="preserve"> PAGEREF _Toc227847317 \h </w:instrTex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separate"/>
        </w:r>
        <w:r w:rsidR="0027102B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t>12</w:t>
        </w:r>
        <w:r w:rsidR="006D02E8" w:rsidRPr="006D02E8">
          <w:rPr>
            <w:rFonts w:ascii="Times New Roman" w:hAnsi="Times New Roman" w:cs="Times New Roman"/>
            <w:noProof/>
            <w:webHidden/>
            <w:color w:val="2E74B5" w:themeColor="accent1" w:themeShade="BF"/>
            <w:sz w:val="24"/>
            <w:szCs w:val="24"/>
          </w:rPr>
          <w:fldChar w:fldCharType="end"/>
        </w:r>
      </w:hyperlink>
    </w:p>
    <w:p w14:paraId="31F09101" w14:textId="1C993089" w:rsidR="0089798E" w:rsidRDefault="0089798E" w:rsidP="0089798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fldChar w:fldCharType="end"/>
      </w:r>
      <w:r>
        <w:rPr>
          <w:rFonts w:ascii="Times New Roman" w:hAnsi="Times New Roman" w:cs="Times New Roman"/>
          <w:b/>
          <w:sz w:val="32"/>
        </w:rPr>
        <w:br w:type="page"/>
      </w:r>
    </w:p>
    <w:p w14:paraId="023E3756" w14:textId="77777777" w:rsidR="00AA486F" w:rsidRPr="000712AE" w:rsidRDefault="000712AE" w:rsidP="00F849C7">
      <w:pPr>
        <w:pStyle w:val="Style2"/>
      </w:pPr>
      <w:bookmarkStart w:id="0" w:name="_Toc227847311"/>
      <w:r w:rsidRPr="000712AE">
        <w:lastRenderedPageBreak/>
        <w:t>UVOD</w:t>
      </w:r>
      <w:bookmarkEnd w:id="0"/>
    </w:p>
    <w:p w14:paraId="27DD9697" w14:textId="7272CF9C" w:rsidR="009A4EED" w:rsidRDefault="009A4EED" w:rsidP="00FF6067">
      <w:pPr>
        <w:pStyle w:val="Style1"/>
        <w:ind w:firstLine="360"/>
      </w:pPr>
      <w:r>
        <w:t>Anorganskom kemičaru važ</w:t>
      </w:r>
      <w:r w:rsidR="004B7C7E">
        <w:t>an je uvid u elektronsku strukturu metalnih kompleksa.</w:t>
      </w:r>
      <w:r w:rsidR="007C76DB">
        <w:t xml:space="preserve"> Koristan doprinos anorganskom laboratoriju je rezonancijska spektroskopija poput e</w:t>
      </w:r>
      <w:r w:rsidR="007C76DB" w:rsidRPr="00761D21">
        <w:t>lektronsk</w:t>
      </w:r>
      <w:r w:rsidR="007C76DB">
        <w:t>e</w:t>
      </w:r>
      <w:r w:rsidR="007C76DB" w:rsidRPr="00761D21">
        <w:t xml:space="preserve"> paramagnetsk</w:t>
      </w:r>
      <w:r w:rsidR="007C76DB">
        <w:t>e</w:t>
      </w:r>
      <w:r w:rsidR="007C76DB" w:rsidRPr="00761D21">
        <w:t xml:space="preserve"> rezonancij</w:t>
      </w:r>
      <w:r w:rsidR="007C76DB">
        <w:t>e</w:t>
      </w:r>
      <w:r w:rsidR="009248E9">
        <w:t xml:space="preserve"> koja pruža informacije o strukturi kompleksa koji sadrži paramagnetski </w:t>
      </w:r>
      <w:r w:rsidR="006F2E94">
        <w:t>centar</w:t>
      </w:r>
      <w:r w:rsidR="009248E9">
        <w:t>.</w:t>
      </w:r>
      <w:r w:rsidR="008A1277">
        <w:t xml:space="preserve"> Paramagnetski centar je mjesto unutar molekule ili kristala koje </w:t>
      </w:r>
      <w:r w:rsidR="00862899">
        <w:t>sadrži kemijske vrste s</w:t>
      </w:r>
      <w:r w:rsidR="008A1277">
        <w:t xml:space="preserve"> nesparen</w:t>
      </w:r>
      <w:r w:rsidR="00862899">
        <w:t>im</w:t>
      </w:r>
      <w:r w:rsidR="008A1277">
        <w:t xml:space="preserve"> elektron</w:t>
      </w:r>
      <w:r w:rsidR="00862899">
        <w:t>ima,</w:t>
      </w:r>
      <w:r w:rsidR="008A1277">
        <w:t xml:space="preserve"> </w:t>
      </w:r>
      <w:r w:rsidR="00862899">
        <w:t>poput iona prijelaznih metala, slobodnih radikala ili elektronski po</w:t>
      </w:r>
      <w:r w:rsidR="00D778F8">
        <w:t>b</w:t>
      </w:r>
      <w:r w:rsidR="00862899">
        <w:t>uđenih stanja.</w:t>
      </w:r>
      <w:r w:rsidR="00B738E3" w:rsidRPr="00B738E3">
        <w:rPr>
          <w:vertAlign w:val="superscript"/>
        </w:rPr>
        <w:t>1</w:t>
      </w:r>
      <w:r w:rsidR="006F2E94">
        <w:t xml:space="preserve"> U</w:t>
      </w:r>
      <w:r w:rsidR="008D1E0D">
        <w:t xml:space="preserve"> EPR spektroskopij</w:t>
      </w:r>
      <w:r w:rsidR="006F2E94">
        <w:t xml:space="preserve">i </w:t>
      </w:r>
      <w:r w:rsidR="008D1E0D">
        <w:t>bakrov</w:t>
      </w:r>
      <w:r w:rsidR="006F2E94">
        <w:t>i</w:t>
      </w:r>
      <w:r w:rsidR="008D1E0D">
        <w:t xml:space="preserve"> sustav</w:t>
      </w:r>
      <w:r w:rsidR="006F2E94">
        <w:t>i</w:t>
      </w:r>
      <w:r w:rsidR="008D1E0D">
        <w:t xml:space="preserve"> dobar</w:t>
      </w:r>
      <w:r w:rsidR="006F2E94">
        <w:t xml:space="preserve"> su</w:t>
      </w:r>
      <w:r w:rsidR="008D1E0D">
        <w:t xml:space="preserve"> primjer paramagnetskog centr</w:t>
      </w:r>
      <w:r w:rsidR="00637CDD">
        <w:t>a (elektronska konfiguracija 3d</w:t>
      </w:r>
      <w:r w:rsidR="00637CDD" w:rsidRPr="006F2E94">
        <w:rPr>
          <w:vertAlign w:val="superscript"/>
        </w:rPr>
        <w:t>9</w:t>
      </w:r>
      <w:r w:rsidR="00637CDD">
        <w:t xml:space="preserve">) koji gradi razne geometrije kompleksa (tetra-, penta- i heksa-koordinacijske) s brojnim ligandima. </w:t>
      </w:r>
      <w:r w:rsidR="00E22550">
        <w:t xml:space="preserve">Za geometriju koja odgovara oktaedarskoj, kvadratno piramidalnoj ili kvadratno planarnoj koordinaciji, osnovno stanje </w:t>
      </w:r>
      <w:r w:rsidR="00E22550" w:rsidRPr="006F2E94">
        <w:t xml:space="preserve">je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  <m:r>
              <m:rPr>
                <m:nor/>
              </m:rPr>
              <w:rPr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="006F2E94">
        <w:rPr>
          <w:rFonts w:eastAsiaTheme="minorEastAsia"/>
          <w:szCs w:val="24"/>
        </w:rPr>
        <w:t>.</w:t>
      </w:r>
      <w:r w:rsidR="00805771">
        <w:rPr>
          <w:rFonts w:eastAsiaTheme="minorEastAsia"/>
          <w:szCs w:val="24"/>
        </w:rPr>
        <w:t xml:space="preserve"> </w:t>
      </w:r>
      <w:r w:rsidR="00805771" w:rsidRPr="00805771">
        <w:rPr>
          <w:rFonts w:eastAsiaTheme="minorEastAsia"/>
          <w:szCs w:val="24"/>
        </w:rPr>
        <w:t xml:space="preserve">Kada je koordinacija oko bakrova iona u obliku kompresiranog oktaedra ili trigonalne bipiramide, osnovno stanje je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z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="00805771" w:rsidRPr="00805771">
        <w:rPr>
          <w:rFonts w:eastAsiaTheme="minorEastAsia"/>
          <w:szCs w:val="24"/>
        </w:rPr>
        <w:t xml:space="preserve">. EPR spektroskopija može razlikovati osnovna stanja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  <m:r>
              <m:rPr>
                <m:nor/>
              </m:rPr>
              <w:rPr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="00805771" w:rsidRPr="00805771">
        <w:rPr>
          <w:rFonts w:eastAsiaTheme="minorEastAsia"/>
          <w:szCs w:val="24"/>
        </w:rPr>
        <w:t xml:space="preserve"> 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z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="00805771" w:rsidRPr="00805771">
        <w:rPr>
          <w:rFonts w:eastAsiaTheme="minorEastAsia"/>
          <w:szCs w:val="24"/>
        </w:rPr>
        <w:t xml:space="preserve"> n</w:t>
      </w:r>
      <w:r w:rsidR="00805771">
        <w:rPr>
          <w:rFonts w:eastAsiaTheme="minorEastAsia"/>
          <w:szCs w:val="24"/>
        </w:rPr>
        <w:t xml:space="preserve">a temelju glavnih vrijednosti </w:t>
      </w:r>
      <w:r w:rsidR="00805771" w:rsidRPr="00805771">
        <w:rPr>
          <w:rFonts w:eastAsiaTheme="minorEastAsia"/>
          <w:b/>
          <w:i/>
          <w:szCs w:val="24"/>
        </w:rPr>
        <w:t>g</w:t>
      </w:r>
      <w:r w:rsidR="00805771" w:rsidRPr="00805771">
        <w:rPr>
          <w:rFonts w:eastAsiaTheme="minorEastAsia"/>
          <w:szCs w:val="24"/>
        </w:rPr>
        <w:t>-tenzora u aniz</w:t>
      </w:r>
      <w:r w:rsidR="00805771">
        <w:rPr>
          <w:rFonts w:eastAsiaTheme="minorEastAsia"/>
          <w:szCs w:val="24"/>
        </w:rPr>
        <w:t xml:space="preserve">otropnim spektrima. Vrijednost </w:t>
      </w:r>
      <w:r w:rsidR="00805771" w:rsidRPr="00805771">
        <w:rPr>
          <w:rFonts w:eastAsiaTheme="minorEastAsia"/>
          <w:i/>
          <w:szCs w:val="24"/>
        </w:rPr>
        <w:t>g</w:t>
      </w:r>
      <w:r w:rsidR="008A1277" w:rsidRPr="008A1277">
        <w:rPr>
          <w:rFonts w:eastAsiaTheme="minorEastAsia"/>
          <w:szCs w:val="24"/>
        </w:rPr>
        <w:t xml:space="preserve"> je</w:t>
      </w:r>
      <w:r w:rsidR="002B47BA">
        <w:rPr>
          <w:rFonts w:eastAsiaTheme="minorEastAsia"/>
          <w:szCs w:val="24"/>
        </w:rPr>
        <w:t xml:space="preserve"> </w:t>
      </w:r>
      <w:r w:rsidR="008A1277">
        <w:rPr>
          <w:rFonts w:eastAsiaTheme="minorEastAsia"/>
          <w:szCs w:val="24"/>
        </w:rPr>
        <w:t>primarni</w:t>
      </w:r>
      <w:r w:rsidR="002B47BA">
        <w:rPr>
          <w:rFonts w:eastAsiaTheme="minorEastAsia"/>
          <w:szCs w:val="24"/>
        </w:rPr>
        <w:t xml:space="preserve"> </w:t>
      </w:r>
      <w:r w:rsidR="00805771" w:rsidRPr="00805771">
        <w:rPr>
          <w:rFonts w:eastAsiaTheme="minorEastAsia"/>
          <w:szCs w:val="24"/>
        </w:rPr>
        <w:t>empirijski parametar</w:t>
      </w:r>
      <w:r w:rsidR="0028147A">
        <w:rPr>
          <w:rFonts w:eastAsiaTheme="minorEastAsia"/>
          <w:szCs w:val="24"/>
        </w:rPr>
        <w:t xml:space="preserve"> koji karakterizira odziv paramagnetskog centra što je ekvivalent kemijskom pomaku u NMR spektroskopiji</w:t>
      </w:r>
      <w:r w:rsidR="00805771" w:rsidRPr="00805771">
        <w:rPr>
          <w:rFonts w:eastAsiaTheme="minorEastAsia"/>
          <w:szCs w:val="24"/>
        </w:rPr>
        <w:t>.</w:t>
      </w:r>
      <w:r w:rsidR="001638D7">
        <w:rPr>
          <w:rFonts w:eastAsiaTheme="minorEastAsia"/>
          <w:szCs w:val="24"/>
        </w:rPr>
        <w:t xml:space="preserve"> Takva osjetljivost</w:t>
      </w:r>
      <w:r w:rsidR="001638D7" w:rsidRPr="001638D7">
        <w:rPr>
          <w:rFonts w:eastAsiaTheme="minorEastAsia"/>
          <w:szCs w:val="24"/>
        </w:rPr>
        <w:t xml:space="preserve"> na promjene u koordinacijskoj sferi čini EPR nezamjenjivim alatom za precizno razotkrivanje strukturne dinamike i elektronskog identiteta bakrovih sustava.</w:t>
      </w:r>
      <w:r w:rsidR="002C3EFE" w:rsidRPr="00B738E3">
        <w:rPr>
          <w:rFonts w:eastAsiaTheme="minorEastAsia"/>
          <w:szCs w:val="24"/>
          <w:vertAlign w:val="superscript"/>
        </w:rPr>
        <w:t>2</w:t>
      </w:r>
    </w:p>
    <w:p w14:paraId="0789C83E" w14:textId="77777777" w:rsidR="000712AE" w:rsidRDefault="000712AE" w:rsidP="00F849C7">
      <w:pPr>
        <w:pStyle w:val="Style2"/>
      </w:pPr>
      <w:bookmarkStart w:id="1" w:name="_Toc227847312"/>
      <w:r w:rsidRPr="000712AE">
        <w:t>LITERATURNI PREGLED</w:t>
      </w:r>
      <w:bookmarkEnd w:id="1"/>
    </w:p>
    <w:p w14:paraId="1223D935" w14:textId="77777777" w:rsidR="000712AE" w:rsidRPr="000712AE" w:rsidRDefault="000712AE" w:rsidP="006D02E8">
      <w:pPr>
        <w:pStyle w:val="Style3"/>
      </w:pPr>
      <w:r>
        <w:t xml:space="preserve"> </w:t>
      </w:r>
      <w:bookmarkStart w:id="2" w:name="_Toc227847313"/>
      <w:r w:rsidRPr="006D02E8">
        <w:t>Spektroskopska</w:t>
      </w:r>
      <w:r>
        <w:t xml:space="preserve"> metoda elektronske paramagnetske rezonancije</w:t>
      </w:r>
      <w:bookmarkEnd w:id="2"/>
    </w:p>
    <w:p w14:paraId="04509169" w14:textId="77777777" w:rsidR="00AA486F" w:rsidRDefault="00AA486F" w:rsidP="00FF6067">
      <w:pPr>
        <w:pStyle w:val="Style1"/>
        <w:ind w:firstLine="708"/>
      </w:pPr>
      <w:r w:rsidRPr="00761D21">
        <w:t xml:space="preserve">Elektronska paramagnetska rezonancija (EPR), poznata i kao elektronska spinska rezonancija (ESR), tehnika je specijalizirana za detekciju nesparenih elektrona i njihove neposredne okoline u materijalima. Načelo se temelji na interakciji između magnetskih momenata spina elektrona i primijenjenih magnetskih polja: kada se tvar koja sadrži nesparene elektrone postavi u jako magnetsko polje </w:t>
      </w:r>
      <w:r w:rsidRPr="00761D21">
        <w:rPr>
          <w:i/>
        </w:rPr>
        <w:t>B</w:t>
      </w:r>
      <w:r w:rsidRPr="00761D21">
        <w:rPr>
          <w:vertAlign w:val="subscript"/>
        </w:rPr>
        <w:t>0</w:t>
      </w:r>
      <w:r w:rsidRPr="00761D21">
        <w:t>, energetski nivoi spina elektrona cijepaju se u dva stanja (niskoenergetski nivo paralelan s magnetskim poljem (</w:t>
      </w:r>
      <w:r w:rsidRPr="00761D21">
        <w:rPr>
          <w:i/>
        </w:rPr>
        <w:t>M</w:t>
      </w:r>
      <w:r w:rsidRPr="00761D21">
        <w:rPr>
          <w:vertAlign w:val="subscript"/>
        </w:rPr>
        <w:t>s</w:t>
      </w:r>
      <w:r w:rsidRPr="00761D21">
        <w:t xml:space="preserve"> = – ½ ) i visokoenergetski nivo antiparalelan polju (</w:t>
      </w:r>
      <w:r w:rsidRPr="00761D21">
        <w:rPr>
          <w:i/>
        </w:rPr>
        <w:t>M</w:t>
      </w:r>
      <w:r w:rsidRPr="00761D21">
        <w:rPr>
          <w:vertAlign w:val="subscript"/>
        </w:rPr>
        <w:t>s</w:t>
      </w:r>
      <w:r w:rsidRPr="00761D21">
        <w:t xml:space="preserve"> = +½). Nespareni elektron imat će nižu energetsku razinu ukoliko je magnetski moment istog smjera kao i magnetsko polje (</w:t>
      </w:r>
      <w:r w:rsidRPr="00761D21">
        <w:rPr>
          <w:i/>
        </w:rPr>
        <w:t>m</w:t>
      </w:r>
      <w:r w:rsidRPr="00761D21">
        <w:rPr>
          <w:vertAlign w:val="subscript"/>
        </w:rPr>
        <w:t xml:space="preserve">s </w:t>
      </w:r>
      <w:r w:rsidRPr="00761D21">
        <w:t>= –½), a višu energiju ukoliko je magnetski moment suprotnog smjera od magnetskog polja (</w:t>
      </w:r>
      <w:r w:rsidRPr="00761D21">
        <w:rPr>
          <w:i/>
        </w:rPr>
        <w:t>m</w:t>
      </w:r>
      <w:r w:rsidRPr="00761D21">
        <w:rPr>
          <w:vertAlign w:val="subscript"/>
        </w:rPr>
        <w:t xml:space="preserve">s </w:t>
      </w:r>
      <w:r w:rsidRPr="00761D21">
        <w:t>= ½). Prema tome, dvije energije se prikazuju jednadžbama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7953"/>
        <w:gridCol w:w="559"/>
      </w:tblGrid>
      <w:tr w:rsidR="00B738E3" w14:paraId="6DAD7DAA" w14:textId="77777777" w:rsidTr="0089798E">
        <w:tc>
          <w:tcPr>
            <w:tcW w:w="309" w:type="pct"/>
          </w:tcPr>
          <w:p w14:paraId="0D46687A" w14:textId="77777777" w:rsidR="00B738E3" w:rsidRDefault="00B738E3" w:rsidP="00FF6067">
            <w:pPr>
              <w:pStyle w:val="Style1"/>
            </w:pPr>
          </w:p>
        </w:tc>
        <w:tc>
          <w:tcPr>
            <w:tcW w:w="4383" w:type="pct"/>
          </w:tcPr>
          <w:p w14:paraId="6122BD33" w14:textId="2852F500" w:rsidR="00B738E3" w:rsidRDefault="00B738E3" w:rsidP="00B738E3">
            <w:pPr>
              <w:pStyle w:val="Style1"/>
              <w:jc w:val="center"/>
            </w:pPr>
            <w:r w:rsidRPr="00761D21">
              <w:rPr>
                <w:i/>
              </w:rPr>
              <w:t>E</w:t>
            </w:r>
            <w:r w:rsidRPr="00761D21">
              <w:rPr>
                <w:vertAlign w:val="subscript"/>
              </w:rPr>
              <w:t>½</w:t>
            </w:r>
            <w:r w:rsidRPr="00761D21">
              <w:t xml:space="preserve"> = ½ </w:t>
            </w:r>
            <w:r w:rsidRPr="00761D21">
              <w:rPr>
                <w:i/>
              </w:rPr>
              <w:t>g</w:t>
            </w:r>
            <w:r w:rsidRPr="00761D21">
              <w:rPr>
                <w:vertAlign w:val="subscript"/>
              </w:rPr>
              <w:t xml:space="preserve">e </w:t>
            </w:r>
            <w:r w:rsidRPr="00761D21">
              <w:rPr>
                <w:i/>
              </w:rPr>
              <w:t>µ</w:t>
            </w:r>
            <w:r w:rsidRPr="00761D21">
              <w:rPr>
                <w:vertAlign w:val="subscript"/>
              </w:rPr>
              <w:t>B</w:t>
            </w:r>
            <w:r w:rsidRPr="00761D21">
              <w:rPr>
                <w:i/>
              </w:rPr>
              <w:t xml:space="preserve"> B</w:t>
            </w:r>
            <w:r w:rsidRPr="00761D21">
              <w:rPr>
                <w:vertAlign w:val="subscript"/>
              </w:rPr>
              <w:t>0</w:t>
            </w:r>
          </w:p>
        </w:tc>
        <w:tc>
          <w:tcPr>
            <w:tcW w:w="308" w:type="pct"/>
          </w:tcPr>
          <w:p w14:paraId="0CC1462A" w14:textId="7C3DFF67" w:rsidR="00B738E3" w:rsidRDefault="00B738E3" w:rsidP="00FF6067">
            <w:pPr>
              <w:pStyle w:val="Style1"/>
            </w:pPr>
            <w:r>
              <w:t>(1)</w:t>
            </w:r>
          </w:p>
        </w:tc>
      </w:tr>
      <w:tr w:rsidR="0089798E" w14:paraId="25F5F09E" w14:textId="77777777" w:rsidTr="00897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7C47777E" w14:textId="77777777" w:rsidR="0089798E" w:rsidRDefault="0089798E" w:rsidP="00195F3A">
            <w:pPr>
              <w:pStyle w:val="Style1"/>
            </w:pPr>
          </w:p>
        </w:tc>
        <w:tc>
          <w:tcPr>
            <w:tcW w:w="4383" w:type="pct"/>
            <w:tcBorders>
              <w:top w:val="nil"/>
              <w:left w:val="nil"/>
              <w:bottom w:val="nil"/>
              <w:right w:val="nil"/>
            </w:tcBorders>
          </w:tcPr>
          <w:p w14:paraId="5CC01D59" w14:textId="7F6ABD6E" w:rsidR="0089798E" w:rsidRDefault="0089798E" w:rsidP="00195F3A">
            <w:pPr>
              <w:pStyle w:val="Style1"/>
              <w:jc w:val="center"/>
            </w:pPr>
            <w:r w:rsidRPr="00761D21">
              <w:rPr>
                <w:i/>
              </w:rPr>
              <w:t>E</w:t>
            </w:r>
            <w:r w:rsidRPr="00761D21">
              <w:rPr>
                <w:vertAlign w:val="subscript"/>
              </w:rPr>
              <w:t>–½</w:t>
            </w:r>
            <w:r w:rsidRPr="00761D21">
              <w:t xml:space="preserve"> = –½ </w:t>
            </w:r>
            <w:r w:rsidRPr="00761D21">
              <w:rPr>
                <w:i/>
              </w:rPr>
              <w:t>g</w:t>
            </w:r>
            <w:r w:rsidRPr="00761D21">
              <w:rPr>
                <w:vertAlign w:val="subscript"/>
              </w:rPr>
              <w:t xml:space="preserve">e </w:t>
            </w:r>
            <w:r w:rsidRPr="00761D21">
              <w:rPr>
                <w:i/>
              </w:rPr>
              <w:t>µ</w:t>
            </w:r>
            <w:r w:rsidRPr="00761D21">
              <w:rPr>
                <w:vertAlign w:val="subscript"/>
              </w:rPr>
              <w:t>B</w:t>
            </w:r>
            <w:r w:rsidRPr="00761D21">
              <w:rPr>
                <w:i/>
              </w:rPr>
              <w:t xml:space="preserve"> B</w:t>
            </w:r>
            <w:r w:rsidRPr="00761D21">
              <w:rPr>
                <w:vertAlign w:val="subscript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5132D3D8" w14:textId="2E0A6AB7" w:rsidR="0089798E" w:rsidRDefault="0089798E" w:rsidP="00195F3A">
            <w:pPr>
              <w:pStyle w:val="Style1"/>
            </w:pPr>
            <w:r>
              <w:t>(2)</w:t>
            </w:r>
          </w:p>
        </w:tc>
      </w:tr>
    </w:tbl>
    <w:p w14:paraId="762DB453" w14:textId="77777777" w:rsidR="00AA486F" w:rsidRDefault="00AA486F" w:rsidP="00FF6067">
      <w:pPr>
        <w:pStyle w:val="Style1"/>
      </w:pPr>
      <w:r w:rsidRPr="00761D21">
        <w:t xml:space="preserve">pri čemu se </w:t>
      </w:r>
      <w:r w:rsidRPr="00761D21">
        <w:rPr>
          <w:i/>
        </w:rPr>
        <w:t>g</w:t>
      </w:r>
      <w:r w:rsidRPr="00761D21">
        <w:t xml:space="preserve"> naziva </w:t>
      </w:r>
      <w:r w:rsidRPr="00761D21">
        <w:rPr>
          <w:i/>
        </w:rPr>
        <w:t>g</w:t>
      </w:r>
      <w:r w:rsidRPr="00761D21">
        <w:t xml:space="preserve">-faktor (2,0023 za slobodni elektron), a </w:t>
      </w:r>
      <w:r w:rsidRPr="00761D21">
        <w:rPr>
          <w:i/>
        </w:rPr>
        <w:t>µ</w:t>
      </w:r>
      <w:r w:rsidRPr="00761D21">
        <w:rPr>
          <w:vertAlign w:val="subscript"/>
        </w:rPr>
        <w:t>B</w:t>
      </w:r>
      <w:r w:rsidRPr="00761D21">
        <w:t xml:space="preserve"> je Bohrov magneton. Cijepanje spinskih energetskih nivoa uzrokovano vanjskim magnetskim poljem naziva se Zeemanovo cijepanje (slika 1). Razlika u energiji između ova dva energetska nivoa iznosi: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0"/>
        <w:gridCol w:w="7953"/>
        <w:gridCol w:w="559"/>
      </w:tblGrid>
      <w:tr w:rsidR="0089798E" w14:paraId="4EF7ABE1" w14:textId="77777777" w:rsidTr="00195F3A"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52919AF2" w14:textId="77777777" w:rsidR="0089798E" w:rsidRDefault="0089798E" w:rsidP="00195F3A">
            <w:pPr>
              <w:pStyle w:val="Style1"/>
            </w:pPr>
          </w:p>
        </w:tc>
        <w:tc>
          <w:tcPr>
            <w:tcW w:w="4383" w:type="pct"/>
            <w:tcBorders>
              <w:top w:val="nil"/>
              <w:left w:val="nil"/>
              <w:bottom w:val="nil"/>
              <w:right w:val="nil"/>
            </w:tcBorders>
          </w:tcPr>
          <w:p w14:paraId="36F21599" w14:textId="66AA5925" w:rsidR="0089798E" w:rsidRDefault="0089798E" w:rsidP="00195F3A">
            <w:pPr>
              <w:pStyle w:val="Style1"/>
              <w:jc w:val="center"/>
            </w:pPr>
            <w:r w:rsidRPr="00761D21">
              <w:t>Δ</w:t>
            </w:r>
            <w:r w:rsidRPr="00761D21">
              <w:rPr>
                <w:i/>
              </w:rPr>
              <w:t>E</w:t>
            </w:r>
            <w:r w:rsidRPr="00761D21">
              <w:t xml:space="preserve"> =</w:t>
            </w:r>
            <w:r w:rsidRPr="00761D21">
              <w:rPr>
                <w:i/>
              </w:rPr>
              <w:t xml:space="preserve"> h</w:t>
            </w:r>
            <w:r w:rsidRPr="00761D21">
              <w:rPr>
                <w:i/>
                <w:vertAlign w:val="subscript"/>
              </w:rPr>
              <w:t xml:space="preserve"> </w:t>
            </w:r>
            <w:r w:rsidRPr="00761D21">
              <w:rPr>
                <w:i/>
              </w:rPr>
              <w:t xml:space="preserve">ν </w:t>
            </w:r>
            <w:r w:rsidRPr="00761D21">
              <w:t xml:space="preserve">= </w:t>
            </w:r>
            <w:r w:rsidRPr="00761D21">
              <w:rPr>
                <w:i/>
              </w:rPr>
              <w:t>µ</w:t>
            </w:r>
            <w:r w:rsidRPr="00761D21">
              <w:rPr>
                <w:vertAlign w:val="subscript"/>
              </w:rPr>
              <w:t xml:space="preserve">B </w:t>
            </w:r>
            <w:r w:rsidRPr="00761D21">
              <w:rPr>
                <w:i/>
              </w:rPr>
              <w:t>B</w:t>
            </w:r>
            <w:r w:rsidRPr="00761D21">
              <w:rPr>
                <w:vertAlign w:val="subscript"/>
              </w:rPr>
              <w:t>0</w:t>
            </w:r>
            <w:r w:rsidRPr="00761D21">
              <w:rPr>
                <w:i/>
                <w:vertAlign w:val="subscript"/>
              </w:rPr>
              <w:t xml:space="preserve"> </w:t>
            </w:r>
            <w:r w:rsidRPr="00761D21">
              <w:rPr>
                <w:i/>
              </w:rPr>
              <w:t>g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003366B4" w14:textId="779A0FE1" w:rsidR="0089798E" w:rsidRDefault="0089798E" w:rsidP="00195F3A">
            <w:pPr>
              <w:pStyle w:val="Style1"/>
            </w:pPr>
            <w:r>
              <w:t>(3)</w:t>
            </w:r>
          </w:p>
        </w:tc>
      </w:tr>
    </w:tbl>
    <w:p w14:paraId="0B9691A4" w14:textId="77777777" w:rsidR="00AA486F" w:rsidRPr="00761D21" w:rsidRDefault="00AA486F" w:rsidP="00FF6067">
      <w:pPr>
        <w:pStyle w:val="Style1"/>
      </w:pPr>
      <w:r w:rsidRPr="00761D21">
        <w:t xml:space="preserve">pri čemu je </w:t>
      </w:r>
      <w:r w:rsidRPr="00761D21">
        <w:rPr>
          <w:i/>
        </w:rPr>
        <w:t>g</w:t>
      </w:r>
      <w:r w:rsidRPr="00761D21">
        <w:t>-faktor važan podatak koji određuje mjesto gdje apsorpcija uslijed rezonancije odvija.</w:t>
      </w:r>
    </w:p>
    <w:p w14:paraId="2A5DEC30" w14:textId="77777777" w:rsidR="00AA486F" w:rsidRPr="00761D21" w:rsidRDefault="00C54E75" w:rsidP="00AA486F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C54E75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65AFA255" wp14:editId="7CDEE49C">
            <wp:extent cx="3240000" cy="174857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7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ABC56" w14:textId="510D6922" w:rsidR="00AA486F" w:rsidRPr="00761D21" w:rsidRDefault="00AA486F" w:rsidP="00F849C7">
      <w:pPr>
        <w:pStyle w:val="imagetitle"/>
      </w:pPr>
      <w:r w:rsidRPr="00F849C7">
        <w:rPr>
          <w:b/>
          <w:bCs/>
        </w:rPr>
        <w:t>Slika 1.</w:t>
      </w:r>
      <w:r w:rsidRPr="00761D21">
        <w:t xml:space="preserve"> Cijepanje energetskih razina nesparenog elektrona u vanjskom magnetskom polju (Zeemanov efekt)</w:t>
      </w:r>
      <w:r w:rsidR="00B738E3">
        <w:t xml:space="preserve">, </w:t>
      </w:r>
      <w:r w:rsidR="00C54E75" w:rsidRPr="00C54E75">
        <w:t>preuzeto iz izvora 3</w:t>
      </w:r>
      <w:r w:rsidR="00B738E3">
        <w:t>.</w:t>
      </w:r>
    </w:p>
    <w:p w14:paraId="5D917C3C" w14:textId="77777777" w:rsidR="0089798E" w:rsidRPr="00EE1749" w:rsidRDefault="00703985" w:rsidP="00FF6067">
      <w:pPr>
        <w:pStyle w:val="Style1"/>
      </w:pPr>
      <w:r>
        <w:t>Za nespareni elektron, u</w:t>
      </w:r>
      <w:r w:rsidRPr="00EE1749">
        <w:t xml:space="preserve">kupni kutni moment </w:t>
      </w:r>
      <w:r w:rsidRPr="00EE1749">
        <w:rPr>
          <w:i/>
        </w:rPr>
        <w:t>J</w:t>
      </w:r>
      <w:r w:rsidRPr="00EE1749">
        <w:t xml:space="preserve"> jednak je zbroju intrizičnog kutnog momenta spina elektrona </w:t>
      </w:r>
      <w:r w:rsidRPr="00EE1749">
        <w:rPr>
          <w:i/>
        </w:rPr>
        <w:t>S</w:t>
      </w:r>
      <w:r w:rsidRPr="00EE1749">
        <w:t xml:space="preserve"> i orbitalnog kutnog momenta </w:t>
      </w:r>
      <w:r w:rsidRPr="00EE1749">
        <w:rPr>
          <w:i/>
        </w:rPr>
        <w:t>L</w:t>
      </w:r>
      <w:r w:rsidRPr="00EE1749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0"/>
        <w:gridCol w:w="7953"/>
        <w:gridCol w:w="559"/>
      </w:tblGrid>
      <w:tr w:rsidR="0089798E" w14:paraId="5E5C7803" w14:textId="77777777" w:rsidTr="00195F3A"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3157E476" w14:textId="77777777" w:rsidR="0089798E" w:rsidRDefault="0089798E" w:rsidP="00195F3A">
            <w:pPr>
              <w:pStyle w:val="Style1"/>
            </w:pPr>
          </w:p>
        </w:tc>
        <w:tc>
          <w:tcPr>
            <w:tcW w:w="4383" w:type="pct"/>
            <w:tcBorders>
              <w:top w:val="nil"/>
              <w:left w:val="nil"/>
              <w:bottom w:val="nil"/>
              <w:right w:val="nil"/>
            </w:tcBorders>
          </w:tcPr>
          <w:p w14:paraId="13E45478" w14:textId="2B9194EF" w:rsidR="0089798E" w:rsidRDefault="0089798E" w:rsidP="00195F3A">
            <w:pPr>
              <w:pStyle w:val="Style1"/>
              <w:jc w:val="center"/>
            </w:pPr>
            <w:r w:rsidRPr="009A58D0">
              <w:rPr>
                <w:i/>
              </w:rPr>
              <w:t>J</w:t>
            </w:r>
            <w:r w:rsidRPr="00EE1749">
              <w:t xml:space="preserve"> = </w:t>
            </w:r>
            <w:r w:rsidRPr="009A58D0">
              <w:rPr>
                <w:i/>
              </w:rPr>
              <w:t>L</w:t>
            </w:r>
            <w:r w:rsidRPr="00EE1749">
              <w:t xml:space="preserve"> + </w:t>
            </w:r>
            <w:r w:rsidRPr="009A58D0">
              <w:rPr>
                <w:i/>
              </w:rPr>
              <w:t>S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39892BA7" w14:textId="4CE40C7F" w:rsidR="0089798E" w:rsidRDefault="0089798E" w:rsidP="00195F3A">
            <w:pPr>
              <w:pStyle w:val="Style1"/>
            </w:pPr>
            <w:r>
              <w:t>(4)</w:t>
            </w:r>
          </w:p>
        </w:tc>
      </w:tr>
    </w:tbl>
    <w:p w14:paraId="63DDE2A9" w14:textId="77777777" w:rsidR="0089798E" w:rsidRPr="00EE1749" w:rsidRDefault="00703985" w:rsidP="00FF6067">
      <w:pPr>
        <w:pStyle w:val="Style1"/>
      </w:pPr>
      <w:r w:rsidRPr="00EE1749">
        <w:t xml:space="preserve">Općenito, orbitalni kutni moment približno je jednak nuli za elektron u osnovnom stanju </w:t>
      </w:r>
      <w:r>
        <w:br/>
      </w:r>
      <w:r w:rsidRPr="00EE1749">
        <w:t>(s-elektron). Međutim, interakcija između osnovnog stanja i pobuđenih stanja pridodaje male iznose orbitalnog kutnog momenta u osnovno stanje: to je doprinos spin-orbitalnog sprezanja.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0"/>
        <w:gridCol w:w="7953"/>
        <w:gridCol w:w="559"/>
      </w:tblGrid>
      <w:tr w:rsidR="0089798E" w14:paraId="6E1540B1" w14:textId="77777777" w:rsidTr="00195F3A"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524D535F" w14:textId="77777777" w:rsidR="0089798E" w:rsidRDefault="0089798E" w:rsidP="00195F3A">
            <w:pPr>
              <w:pStyle w:val="Style1"/>
            </w:pPr>
          </w:p>
        </w:tc>
        <w:tc>
          <w:tcPr>
            <w:tcW w:w="4383" w:type="pct"/>
            <w:tcBorders>
              <w:top w:val="nil"/>
              <w:left w:val="nil"/>
              <w:bottom w:val="nil"/>
              <w:right w:val="nil"/>
            </w:tcBorders>
          </w:tcPr>
          <w:p w14:paraId="7B844584" w14:textId="105BA206" w:rsidR="0089798E" w:rsidRDefault="0089798E" w:rsidP="00195F3A">
            <w:pPr>
              <w:pStyle w:val="Style1"/>
              <w:jc w:val="center"/>
            </w:pPr>
            <w:r w:rsidRPr="00EE1749">
              <w:rPr>
                <w:rFonts w:ascii="Cambria Math" w:hAnsi="Cambria Math" w:cs="Cambria Math"/>
              </w:rPr>
              <w:t>𝜇</w:t>
            </w:r>
            <w:r w:rsidRPr="00EE1749">
              <w:t xml:space="preserve">̅ </w:t>
            </w:r>
            <w:r w:rsidRPr="00EE1749">
              <w:rPr>
                <w:rFonts w:ascii="Cambria Math" w:hAnsi="Cambria Math" w:cs="Cambria Math"/>
              </w:rPr>
              <w:t>∝ 𝑔𝑒𝑆</w:t>
            </w:r>
            <w:r w:rsidRPr="00EE1749">
              <w:t xml:space="preserve">̅ + </w:t>
            </w:r>
            <w:r w:rsidRPr="0089798E">
              <w:rPr>
                <w:rFonts w:ascii="Cambria Math" w:hAnsi="Cambria Math" w:cs="Cambria Math"/>
                <w:iCs/>
              </w:rPr>
              <w:t>doprinos spin-orbitalnog sprezanja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1C6BC946" w14:textId="522790E1" w:rsidR="0089798E" w:rsidRDefault="0089798E" w:rsidP="00195F3A">
            <w:pPr>
              <w:pStyle w:val="Style1"/>
            </w:pPr>
            <w:r>
              <w:t>(5)</w:t>
            </w:r>
          </w:p>
        </w:tc>
      </w:tr>
    </w:tbl>
    <w:p w14:paraId="1D0E6D66" w14:textId="77777777" w:rsidR="00703985" w:rsidRDefault="00703985" w:rsidP="00FF6067">
      <w:pPr>
        <w:pStyle w:val="Style1"/>
      </w:pPr>
      <w:r w:rsidRPr="00EE1749">
        <w:t xml:space="preserve">Spin-orbitalno sprezanje iz perspektive promatrača na elektronu može se opisati kao pozitivni naboj s orbitom koji stvara drugo magnetsko polje </w:t>
      </w:r>
      <w:r w:rsidRPr="00EE1749">
        <w:rPr>
          <w:i/>
        </w:rPr>
        <w:t>δB</w:t>
      </w:r>
      <w:r w:rsidRPr="00EE1749">
        <w:t xml:space="preserve">. Prema tome </w:t>
      </w:r>
      <w:r w:rsidRPr="00EE1749">
        <w:rPr>
          <w:i/>
        </w:rPr>
        <w:t>B</w:t>
      </w:r>
      <w:r w:rsidRPr="00EE1749">
        <w:rPr>
          <w:vertAlign w:val="subscript"/>
        </w:rPr>
        <w:t>0</w:t>
      </w:r>
      <w:r w:rsidRPr="00EE1749">
        <w:t xml:space="preserve"> postaje zbroj vanjskog magnetskog polja i magnetskog polja jezgre.</w:t>
      </w:r>
    </w:p>
    <w:p w14:paraId="4D8797A1" w14:textId="77777777" w:rsidR="00AA486F" w:rsidRDefault="00AA486F" w:rsidP="00FF6067">
      <w:pPr>
        <w:pStyle w:val="Style1"/>
      </w:pPr>
      <w:r w:rsidRPr="00761D21">
        <w:t xml:space="preserve">Kada se elektroni nalaze u </w:t>
      </w:r>
      <w:r w:rsidRPr="00761D21">
        <w:rPr>
          <w:b/>
        </w:rPr>
        <w:t>p</w:t>
      </w:r>
      <w:r w:rsidRPr="00761D21">
        <w:t xml:space="preserve"> ili </w:t>
      </w:r>
      <w:r w:rsidRPr="00761D21">
        <w:rPr>
          <w:b/>
        </w:rPr>
        <w:t>d</w:t>
      </w:r>
      <w:r w:rsidRPr="00761D21">
        <w:t xml:space="preserve"> orbitalama molekulskih orbitala, sprezanje spina i orbite (engl. spin-orbit coupling) čini </w:t>
      </w:r>
      <w:r w:rsidRPr="00761D21">
        <w:rPr>
          <w:i/>
        </w:rPr>
        <w:t>g</w:t>
      </w:r>
      <w:r w:rsidRPr="00761D21">
        <w:t xml:space="preserve">-faktor anizotropnim. Anizotropija označava da vrijednost </w:t>
      </w:r>
      <w:r w:rsidRPr="00761D21">
        <w:rPr>
          <w:i/>
        </w:rPr>
        <w:t>g</w:t>
      </w:r>
      <w:r w:rsidRPr="00761D21">
        <w:t xml:space="preserve">-faktora ovisi o smjeru u kojem mjerimo česticu u odnosu na vanjsko magnetsko polje. Npr. na površini </w:t>
      </w:r>
      <w:r w:rsidRPr="00761D21">
        <w:lastRenderedPageBreak/>
        <w:t xml:space="preserve">krutine, molekule su fiksirane pa zbog toga nastaju spektri koji imaju različite </w:t>
      </w:r>
      <w:r w:rsidRPr="00761D21">
        <w:rPr>
          <w:i/>
        </w:rPr>
        <w:t>g</w:t>
      </w:r>
      <w:r w:rsidRPr="00761D21">
        <w:t>-vrijednosti za različite osi (</w:t>
      </w:r>
      <w:r w:rsidRPr="00761D21">
        <w:rPr>
          <w:i/>
        </w:rPr>
        <w:t>g</w:t>
      </w:r>
      <w:r w:rsidRPr="00761D21">
        <w:rPr>
          <w:vertAlign w:val="subscript"/>
        </w:rPr>
        <w:t>x</w:t>
      </w:r>
      <w:r w:rsidRPr="00761D21">
        <w:t xml:space="preserve">, </w:t>
      </w:r>
      <w:r w:rsidRPr="00761D21">
        <w:rPr>
          <w:i/>
        </w:rPr>
        <w:t>g</w:t>
      </w:r>
      <w:r w:rsidRPr="00761D21">
        <w:rPr>
          <w:vertAlign w:val="subscript"/>
        </w:rPr>
        <w:t>y</w:t>
      </w:r>
      <w:r w:rsidRPr="00761D21">
        <w:t xml:space="preserve">, </w:t>
      </w:r>
      <w:r w:rsidRPr="00761D21">
        <w:rPr>
          <w:i/>
        </w:rPr>
        <w:t>g</w:t>
      </w:r>
      <w:r w:rsidRPr="00761D21">
        <w:rPr>
          <w:vertAlign w:val="subscript"/>
        </w:rPr>
        <w:t>z</w:t>
      </w:r>
      <w:r w:rsidRPr="00761D21">
        <w:t xml:space="preserve">). </w:t>
      </w:r>
      <w:r w:rsidRPr="00761D21">
        <w:rPr>
          <w:i/>
        </w:rPr>
        <w:t>g</w:t>
      </w:r>
      <w:r w:rsidRPr="00761D21">
        <w:t xml:space="preserve">-vrijednosti variraju zbog interakcije između elektrona i lokalnog polja koje stvaraju spinovi drugih elektrona ili nuklearni spinovi u njihovoj okolini. Proučavanje tih varijacija korisno je za analizu elektronskog oblaka i koordinacijske strukture sustava. Nespareni elektroni u magnetskom polju, osim što podliježu Zeemanovom cijepanju zbog primijenjenog magnetskog polja, također su pod utjecajem lokalnih magnetskih polja koja generiraju druge magnetske jezgre u njihovoj blizini. Ova interakcija između nesparenih elektrona i bližih magnetskih jezgara naziva se </w:t>
      </w:r>
      <w:r w:rsidRPr="00761D21">
        <w:rPr>
          <w:b/>
        </w:rPr>
        <w:t>hiperfina interakcija</w:t>
      </w:r>
      <w:r w:rsidRPr="00761D21">
        <w:t>, koja uzrokuje cijepanje spektralnih linija, kao što je prikazano na Slici 2a (desno). Odgovarajući EPR spektar prikazan je na Slici 2b (desno). Hiperfina interakcija može pružiti detaljne informacije o lokalnom okruženju paramagnetskih centara.</w:t>
      </w:r>
    </w:p>
    <w:p w14:paraId="65D0D074" w14:textId="364391D7" w:rsidR="00C15416" w:rsidRDefault="000C3163" w:rsidP="00FF6067">
      <w:pPr>
        <w:pStyle w:val="Style1"/>
      </w:pPr>
      <w:r>
        <w:t xml:space="preserve">Jahn-Tellerov teorem (JTE) jedan je od ključnih koncepata za razumijevanje EPR spektroskopije kompleksnih sustava prijelaznih metala. Teorem opisuje kako svaki nelinearni molekularni sustav u elektronski degeneriranom stanju mora biti nestabilan. Zbog toga, molekula će se spontano deformirati kako bi umanjila tu degeneraciju, </w:t>
      </w:r>
      <w:r w:rsidR="00A06CF8">
        <w:t>o</w:t>
      </w:r>
      <w:r>
        <w:t>dnosno smanjila simetriju te time snizila ukupnu energiju. Ova promjena simetrije ključna je za interpretaciju EPR spektara jer uzrokuje anizotropiju g-faktora, pretvarajući teorijski izotropan signal u karakterističan aksijalni ili rompski spektar što omogućuje uvid EPR spektroskopijom u fine strukturne promjene.</w:t>
      </w:r>
      <w:r w:rsidR="00C15416">
        <w:t xml:space="preserve"> Bakrov(II) ion najčešće teži oktaedarskoj geometriji (</w:t>
      </w:r>
      <w:r w:rsidR="00C15416" w:rsidRPr="00C15416">
        <w:rPr>
          <w:i/>
        </w:rPr>
        <w:t>O</w:t>
      </w:r>
      <w:r w:rsidR="00C15416" w:rsidRPr="00C15416">
        <w:rPr>
          <w:i/>
          <w:vertAlign w:val="subscript"/>
        </w:rPr>
        <w:t>h</w:t>
      </w:r>
      <w:r w:rsidR="00C15416">
        <w:t>), ali zbog d</w:t>
      </w:r>
      <w:r w:rsidR="00C15416" w:rsidRPr="00C15416">
        <w:rPr>
          <w:vertAlign w:val="superscript"/>
        </w:rPr>
        <w:t>9</w:t>
      </w:r>
      <w:r w:rsidR="00C15416">
        <w:t xml:space="preserve"> elektronske konfiguracije je nestabilan pa prema Jahn-Tellerovom teoremu dolazi do promjene geometrije u dvije vrste oktaedara. </w:t>
      </w:r>
      <w:r w:rsidR="00D33F07">
        <w:t>U jednom slučaju dolazi do t</w:t>
      </w:r>
      <w:r w:rsidR="00C15416">
        <w:t>etragonaln</w:t>
      </w:r>
      <w:r w:rsidR="00D33F07">
        <w:t>e</w:t>
      </w:r>
      <w:r w:rsidR="00C15416">
        <w:t xml:space="preserve"> elongacij</w:t>
      </w:r>
      <w:r w:rsidR="00D33F07">
        <w:t>e, odnosno stvaranj</w:t>
      </w:r>
      <w:r w:rsidR="00F45309">
        <w:t>a</w:t>
      </w:r>
      <w:r w:rsidR="00D33F07">
        <w:t xml:space="preserve"> izduženog</w:t>
      </w:r>
      <w:r w:rsidR="00C15416">
        <w:t xml:space="preserve"> oktae</w:t>
      </w:r>
      <w:r w:rsidR="00D33F07">
        <w:t xml:space="preserve">dra </w:t>
      </w:r>
      <w:r w:rsidR="00F45309">
        <w:t>pri čemu</w:t>
      </w:r>
      <w:r w:rsidR="00D33F07">
        <w:t xml:space="preserve"> se dva aksijalna liganda udaljavaju, a četiri ekvatorijalna približavaju bakru (</w:t>
      </w:r>
      <w:r w:rsidR="00D33F07" w:rsidRPr="00761D21">
        <w:rPr>
          <w:i/>
        </w:rPr>
        <w:t>g</w:t>
      </w:r>
      <w:r w:rsidR="00D33F07" w:rsidRPr="00761D21">
        <w:rPr>
          <w:rFonts w:ascii="Cambria Math" w:hAnsi="Cambria Math" w:cs="Cambria Math"/>
          <w:vertAlign w:val="subscript"/>
        </w:rPr>
        <w:t>∥</w:t>
      </w:r>
      <w:r w:rsidR="00D33F07">
        <w:rPr>
          <w:rFonts w:ascii="Cambria Math" w:hAnsi="Cambria Math" w:cs="Cambria Math"/>
          <w:vertAlign w:val="subscript"/>
        </w:rPr>
        <w:t xml:space="preserve"> </w:t>
      </w:r>
      <w:r w:rsidR="00D33F07">
        <w:t xml:space="preserve">&gt; </w:t>
      </w:r>
      <w:r w:rsidR="00D33F07" w:rsidRPr="00761D21">
        <w:rPr>
          <w:i/>
        </w:rPr>
        <w:t>g</w:t>
      </w:r>
      <w:r w:rsidR="00D33F07" w:rsidRPr="00761D21">
        <w:rPr>
          <w:rFonts w:ascii="Cambria Math" w:hAnsi="Cambria Math" w:cs="Cambria Math"/>
          <w:vertAlign w:val="subscript"/>
        </w:rPr>
        <w:t>⊥</w:t>
      </w:r>
      <w:r w:rsidR="00D33F07">
        <w:t>)</w:t>
      </w:r>
      <w:r w:rsidR="00F45309">
        <w:t xml:space="preserve">. U drugom slučaju dolazi do tetragonalne kompresije, </w:t>
      </w:r>
      <w:r w:rsidR="00703985">
        <w:t>odnosno</w:t>
      </w:r>
      <w:r w:rsidR="00F45309">
        <w:t xml:space="preserve"> stvaranja stisnutog oktaedra pri čemu se aksijalni ligandi</w:t>
      </w:r>
      <w:r w:rsidR="00C15416">
        <w:t xml:space="preserve"> </w:t>
      </w:r>
      <w:r w:rsidR="00F45309">
        <w:t>približavaju, a ekvatorijalni udaljavaju (</w:t>
      </w:r>
      <w:r w:rsidR="00F45309" w:rsidRPr="00761D21">
        <w:rPr>
          <w:i/>
        </w:rPr>
        <w:t>g</w:t>
      </w:r>
      <w:r w:rsidR="00F45309" w:rsidRPr="00761D21">
        <w:rPr>
          <w:rFonts w:ascii="Cambria Math" w:hAnsi="Cambria Math" w:cs="Cambria Math"/>
          <w:vertAlign w:val="subscript"/>
        </w:rPr>
        <w:t>∥</w:t>
      </w:r>
      <w:r w:rsidR="00F45309">
        <w:rPr>
          <w:rFonts w:ascii="Cambria Math" w:hAnsi="Cambria Math" w:cs="Cambria Math"/>
          <w:vertAlign w:val="subscript"/>
        </w:rPr>
        <w:t xml:space="preserve"> </w:t>
      </w:r>
      <w:r w:rsidR="00F45309">
        <w:t xml:space="preserve">&lt; </w:t>
      </w:r>
      <w:r w:rsidR="00F45309" w:rsidRPr="00761D21">
        <w:rPr>
          <w:i/>
        </w:rPr>
        <w:t>g</w:t>
      </w:r>
      <w:r w:rsidR="00F45309" w:rsidRPr="00761D21">
        <w:rPr>
          <w:rFonts w:ascii="Cambria Math" w:hAnsi="Cambria Math" w:cs="Cambria Math"/>
          <w:vertAlign w:val="subscript"/>
        </w:rPr>
        <w:t>⊥</w:t>
      </w:r>
      <w:r w:rsidR="00F45309">
        <w:t>)</w:t>
      </w:r>
      <w:r w:rsidR="00233D66">
        <w:t>.</w:t>
      </w:r>
      <w:r w:rsidR="00C15416" w:rsidRPr="0089798E">
        <w:rPr>
          <w:vertAlign w:val="superscript"/>
        </w:rPr>
        <w:t>13</w:t>
      </w:r>
    </w:p>
    <w:p w14:paraId="16D9F199" w14:textId="77777777" w:rsidR="000C3163" w:rsidRPr="00761D21" w:rsidRDefault="000C3163" w:rsidP="00AA486F">
      <w:pPr>
        <w:rPr>
          <w:rFonts w:ascii="Times New Roman" w:hAnsi="Times New Roman" w:cs="Times New Roman"/>
          <w:sz w:val="24"/>
        </w:rPr>
      </w:pPr>
    </w:p>
    <w:p w14:paraId="42162CEF" w14:textId="77777777" w:rsidR="00AA486F" w:rsidRPr="00761D21" w:rsidRDefault="00AA486F" w:rsidP="00AA486F">
      <w:pPr>
        <w:jc w:val="center"/>
        <w:rPr>
          <w:rFonts w:ascii="Times New Roman" w:hAnsi="Times New Roman" w:cs="Times New Roman"/>
          <w:sz w:val="24"/>
        </w:rPr>
      </w:pPr>
      <w:r w:rsidRPr="00761D21">
        <w:rPr>
          <w:rFonts w:ascii="Times New Roman" w:hAnsi="Times New Roman" w:cs="Times New Roman"/>
          <w:noProof/>
          <w:sz w:val="24"/>
          <w:lang w:eastAsia="hr-HR"/>
        </w:rPr>
        <w:lastRenderedPageBreak/>
        <w:drawing>
          <wp:inline distT="0" distB="0" distL="0" distR="0" wp14:anchorId="1BCB31D0" wp14:editId="008129B4">
            <wp:extent cx="3600000" cy="3344448"/>
            <wp:effectExtent l="0" t="0" r="63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34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90F" w14:textId="4841BAC2" w:rsidR="00AA486F" w:rsidRPr="00761D21" w:rsidRDefault="00AA486F" w:rsidP="00F849C7">
      <w:pPr>
        <w:pStyle w:val="imagetitle"/>
        <w:rPr>
          <w:lang w:eastAsia="hr-HR"/>
        </w:rPr>
      </w:pPr>
      <w:r w:rsidRPr="00F849C7">
        <w:rPr>
          <w:b/>
          <w:bCs/>
        </w:rPr>
        <w:t>Slika 2. (a)</w:t>
      </w:r>
      <w:r w:rsidRPr="00761D21">
        <w:t xml:space="preserve"> </w:t>
      </w:r>
      <w:r w:rsidRPr="00761D21">
        <w:rPr>
          <w:lang w:eastAsia="hr-HR"/>
        </w:rPr>
        <w:t xml:space="preserve">Shematski prikaz Zeemanovog cijepanja energetskih nivoa (desno) i hiperfinog sprezanja nesparenog elektrona s dvije ekvivalentne jezgre </w:t>
      </w:r>
      <w:r w:rsidRPr="00761D21">
        <w:rPr>
          <w:vertAlign w:val="superscript"/>
          <w:lang w:eastAsia="hr-HR"/>
        </w:rPr>
        <w:t>1</w:t>
      </w:r>
      <w:r w:rsidRPr="00761D21">
        <w:rPr>
          <w:lang w:eastAsia="hr-HR"/>
        </w:rPr>
        <w:t xml:space="preserve">H (lijevo) te </w:t>
      </w:r>
      <w:r w:rsidRPr="00F849C7">
        <w:rPr>
          <w:b/>
          <w:bCs/>
          <w:lang w:eastAsia="hr-HR"/>
        </w:rPr>
        <w:t>(b)</w:t>
      </w:r>
      <w:r w:rsidRPr="00761D21">
        <w:rPr>
          <w:lang w:eastAsia="hr-HR"/>
        </w:rPr>
        <w:t xml:space="preserve"> pripadajući EPR spektri</w:t>
      </w:r>
      <w:r w:rsidR="0089798E">
        <w:rPr>
          <w:lang w:eastAsia="hr-HR"/>
        </w:rPr>
        <w:t xml:space="preserve">, </w:t>
      </w:r>
      <w:r w:rsidR="00C54E75" w:rsidRPr="00C54E75">
        <w:rPr>
          <w:lang w:eastAsia="hr-HR"/>
        </w:rPr>
        <w:t xml:space="preserve">preuzeto iz </w:t>
      </w:r>
      <w:r w:rsidR="00C54E75">
        <w:rPr>
          <w:lang w:eastAsia="hr-HR"/>
        </w:rPr>
        <w:t>izvora</w:t>
      </w:r>
      <w:r w:rsidR="00C54E75" w:rsidRPr="00C54E75">
        <w:rPr>
          <w:lang w:eastAsia="hr-HR"/>
        </w:rPr>
        <w:t xml:space="preserve"> 4</w:t>
      </w:r>
      <w:r w:rsidR="0089798E">
        <w:rPr>
          <w:lang w:eastAsia="hr-HR"/>
        </w:rPr>
        <w:t>.</w:t>
      </w:r>
    </w:p>
    <w:p w14:paraId="4B50954A" w14:textId="77777777" w:rsidR="00AA486F" w:rsidRPr="00761D21" w:rsidRDefault="00AA486F" w:rsidP="00FF6067">
      <w:pPr>
        <w:pStyle w:val="Style1"/>
      </w:pPr>
      <w:r w:rsidRPr="00761D21">
        <w:t xml:space="preserve">EPR spektri se standardno prikazuju kao prva derivacija apsorpcijskog signala, što je posljedica tehnike modulacije magnetskog polja u svrhu postizanja većeg omjera signala i šuma te lakše identifikacije finih detalja u spektrima s preklopljenim linijama. U teoriji, spektralna linija bi trebala biti beskonačno uska. Međutim, u stvarnim eksperimentima spektralne linije uvijek imaju određeni oblik i širinu. Tako npr. iako hiperfino sprezanje ne mora biti izravno vidljivo u svim eksperimentalnim spektrima, ono je često prisutno, ali ostaje prikriveno zbog strukturnog nereda u sustavu, nehomogenog proširenja linija ili preklapanja signala različitih paramagnetskih centara. </w:t>
      </w:r>
    </w:p>
    <w:p w14:paraId="6D7C26D9" w14:textId="77777777" w:rsidR="00AA486F" w:rsidRPr="00761D21" w:rsidRDefault="00AA486F" w:rsidP="00FF6067">
      <w:pPr>
        <w:pStyle w:val="Style1"/>
      </w:pPr>
      <w:r w:rsidRPr="00761D21">
        <w:t>Slika 3 prikazuje tri primjera spektara praha. U prva dva slučaja nema hiperfine interakcije (</w:t>
      </w:r>
      <w:r w:rsidRPr="00761D21">
        <w:rPr>
          <w:i/>
        </w:rPr>
        <w:t>I</w:t>
      </w:r>
      <w:r w:rsidRPr="00761D21">
        <w:t xml:space="preserve"> = 0) te je informacija ograničena isključivo na </w:t>
      </w:r>
      <w:r w:rsidRPr="00717CB2">
        <w:rPr>
          <w:b/>
          <w:i/>
        </w:rPr>
        <w:t>g</w:t>
      </w:r>
      <w:r w:rsidRPr="00761D21">
        <w:t xml:space="preserve">-tenzor, koji je u prvom slučaju aksijalan (Slika 1a; </w:t>
      </w:r>
      <w:r w:rsidRPr="00761D21">
        <w:rPr>
          <w:i/>
        </w:rPr>
        <w:t>g</w:t>
      </w:r>
      <w:r w:rsidRPr="00761D21">
        <w:rPr>
          <w:vertAlign w:val="subscript"/>
        </w:rPr>
        <w:t>z</w:t>
      </w:r>
      <w:r w:rsidRPr="00761D21">
        <w:t xml:space="preserve"> = </w:t>
      </w:r>
      <w:r w:rsidRPr="00761D21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∥</w:t>
      </w:r>
      <w:r w:rsidRPr="00761D21">
        <w:t xml:space="preserve">, </w:t>
      </w:r>
      <w:r w:rsidRPr="00761D21">
        <w:rPr>
          <w:i/>
        </w:rPr>
        <w:t>g</w:t>
      </w:r>
      <w:r w:rsidRPr="00761D21">
        <w:rPr>
          <w:vertAlign w:val="subscript"/>
        </w:rPr>
        <w:t>x</w:t>
      </w:r>
      <w:r w:rsidRPr="00761D21">
        <w:t xml:space="preserve"> = </w:t>
      </w:r>
      <w:r w:rsidRPr="00761D21">
        <w:rPr>
          <w:i/>
        </w:rPr>
        <w:t>g</w:t>
      </w:r>
      <w:r w:rsidRPr="00761D21">
        <w:rPr>
          <w:vertAlign w:val="subscript"/>
        </w:rPr>
        <w:t>y</w:t>
      </w:r>
      <w:r w:rsidRPr="00761D21">
        <w:t xml:space="preserve"> = </w:t>
      </w:r>
      <w:r w:rsidRPr="00761D21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⊥</w:t>
      </w:r>
      <w:r w:rsidRPr="00761D21">
        <w:t xml:space="preserve">), dok je u drugom slučaju rompski (Slika 1b; </w:t>
      </w:r>
      <w:r w:rsidRPr="00761D21">
        <w:rPr>
          <w:i/>
        </w:rPr>
        <w:t>g</w:t>
      </w:r>
      <w:r w:rsidRPr="00761D21">
        <w:rPr>
          <w:vertAlign w:val="subscript"/>
        </w:rPr>
        <w:t>z</w:t>
      </w:r>
      <w:r w:rsidRPr="00761D21">
        <w:t xml:space="preserve"> ≠ </w:t>
      </w:r>
      <w:r w:rsidRPr="00761D21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∥</w:t>
      </w:r>
      <w:r w:rsidRPr="00761D21">
        <w:t xml:space="preserve">, </w:t>
      </w:r>
      <w:r w:rsidRPr="00761D21">
        <w:rPr>
          <w:i/>
        </w:rPr>
        <w:t>g</w:t>
      </w:r>
      <w:r w:rsidRPr="00761D21">
        <w:rPr>
          <w:vertAlign w:val="subscript"/>
        </w:rPr>
        <w:t>x</w:t>
      </w:r>
      <w:r w:rsidRPr="00761D21">
        <w:t xml:space="preserve"> ≠ </w:t>
      </w:r>
      <w:r w:rsidRPr="00761D21">
        <w:rPr>
          <w:i/>
        </w:rPr>
        <w:t>g</w:t>
      </w:r>
      <w:r w:rsidRPr="00761D21">
        <w:rPr>
          <w:vertAlign w:val="subscript"/>
        </w:rPr>
        <w:t>y</w:t>
      </w:r>
      <w:r w:rsidRPr="00761D21">
        <w:t xml:space="preserve"> ≠ </w:t>
      </w:r>
      <w:r w:rsidRPr="00761D21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⊥</w:t>
      </w:r>
      <w:r w:rsidRPr="00761D21">
        <w:t xml:space="preserve"> ili, kada smjerovi </w:t>
      </w:r>
      <w:r w:rsidRPr="00761D21">
        <w:rPr>
          <w:i/>
        </w:rPr>
        <w:t>g</w:t>
      </w:r>
      <w:r w:rsidRPr="00761D21">
        <w:t xml:space="preserve">-vrijednsti osi nisu poznati, </w:t>
      </w:r>
      <w:r w:rsidRPr="00761D21">
        <w:rPr>
          <w:i/>
        </w:rPr>
        <w:t>g</w:t>
      </w:r>
      <w:r w:rsidRPr="00761D21">
        <w:rPr>
          <w:vertAlign w:val="subscript"/>
        </w:rPr>
        <w:t>1</w:t>
      </w:r>
      <w:r w:rsidRPr="00761D21">
        <w:t xml:space="preserve"> ≠ </w:t>
      </w:r>
      <w:r w:rsidRPr="00761D21">
        <w:rPr>
          <w:i/>
        </w:rPr>
        <w:t>g</w:t>
      </w:r>
      <w:r w:rsidRPr="00761D21">
        <w:rPr>
          <w:vertAlign w:val="subscript"/>
        </w:rPr>
        <w:t>2</w:t>
      </w:r>
      <w:r w:rsidRPr="00761D21">
        <w:t xml:space="preserve"> ≠ </w:t>
      </w:r>
      <w:r w:rsidRPr="00761D21">
        <w:rPr>
          <w:i/>
        </w:rPr>
        <w:t>g</w:t>
      </w:r>
      <w:r w:rsidRPr="00761D21">
        <w:rPr>
          <w:vertAlign w:val="subscript"/>
        </w:rPr>
        <w:t>3</w:t>
      </w:r>
      <w:r w:rsidRPr="00761D21">
        <w:t>).</w:t>
      </w:r>
    </w:p>
    <w:p w14:paraId="4EEB5369" w14:textId="77777777" w:rsidR="00AA486F" w:rsidRPr="00761D21" w:rsidRDefault="00AA486F" w:rsidP="00AA486F">
      <w:pPr>
        <w:jc w:val="center"/>
        <w:rPr>
          <w:rFonts w:ascii="Times New Roman" w:hAnsi="Times New Roman" w:cs="Times New Roman"/>
          <w:sz w:val="24"/>
        </w:rPr>
      </w:pPr>
      <w:r w:rsidRPr="00761D21">
        <w:rPr>
          <w:rFonts w:ascii="Times New Roman" w:hAnsi="Times New Roman" w:cs="Times New Roman"/>
          <w:noProof/>
          <w:sz w:val="24"/>
          <w:lang w:eastAsia="hr-HR"/>
        </w:rPr>
        <w:lastRenderedPageBreak/>
        <w:drawing>
          <wp:inline distT="0" distB="0" distL="0" distR="0" wp14:anchorId="65BCE00A" wp14:editId="1FFE1FE2">
            <wp:extent cx="2997630" cy="216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763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BB14C" w14:textId="5D95CA34" w:rsidR="00AA486F" w:rsidRDefault="00AA486F" w:rsidP="001F666E">
      <w:pPr>
        <w:pStyle w:val="imagetitle"/>
      </w:pPr>
      <w:r w:rsidRPr="001F666E">
        <w:rPr>
          <w:b/>
          <w:bCs/>
        </w:rPr>
        <w:t>Slika 3.</w:t>
      </w:r>
      <w:r w:rsidRPr="00761D21">
        <w:t xml:space="preserve"> Izračunati teorijski profili EPR spektara praha (prikazani kao prva derivacija apsorpcije): </w:t>
      </w:r>
      <w:r w:rsidRPr="001F666E">
        <w:rPr>
          <w:b/>
          <w:bCs/>
        </w:rPr>
        <w:t>(a)</w:t>
      </w:r>
      <w:r w:rsidRPr="00761D21">
        <w:t xml:space="preserve"> sustav s aksijalnim </w:t>
      </w:r>
      <w:r w:rsidRPr="00761D21">
        <w:rPr>
          <w:i/>
        </w:rPr>
        <w:t>g</w:t>
      </w:r>
      <w:r w:rsidRPr="00761D21">
        <w:t xml:space="preserve">-tenzorom </w:t>
      </w:r>
      <w:r w:rsidRPr="001F666E">
        <w:rPr>
          <w:b/>
          <w:bCs/>
        </w:rPr>
        <w:t>(b)</w:t>
      </w:r>
      <w:r w:rsidRPr="00761D21">
        <w:t xml:space="preserve"> sustav s rompskim </w:t>
      </w:r>
      <w:r w:rsidRPr="00761D21">
        <w:rPr>
          <w:i/>
        </w:rPr>
        <w:t>g</w:t>
      </w:r>
      <w:r w:rsidRPr="00761D21">
        <w:t xml:space="preserve">-tenzorom u odsutnosti hiperfinih interakcija; </w:t>
      </w:r>
      <w:r w:rsidRPr="001F666E">
        <w:rPr>
          <w:b/>
          <w:bCs/>
        </w:rPr>
        <w:t>(c)</w:t>
      </w:r>
      <w:r w:rsidRPr="00761D21">
        <w:t xml:space="preserve"> sustav s rompskim </w:t>
      </w:r>
      <w:r w:rsidRPr="00761D21">
        <w:rPr>
          <w:i/>
        </w:rPr>
        <w:t>g</w:t>
      </w:r>
      <w:r w:rsidRPr="00761D21">
        <w:t xml:space="preserve">-tenzorom uz prisutnost hiperfinog sprezanja s jezgrom nuklearnog spina </w:t>
      </w:r>
      <w:r w:rsidRPr="00761D21">
        <w:rPr>
          <w:i/>
        </w:rPr>
        <w:t>I</w:t>
      </w:r>
      <w:r w:rsidRPr="00761D21">
        <w:t xml:space="preserve"> = 3/2 (kvartet linija)</w:t>
      </w:r>
      <w:r w:rsidR="0089798E">
        <w:t xml:space="preserve">, </w:t>
      </w:r>
      <w:r w:rsidR="00C54E75" w:rsidRPr="00C54E75">
        <w:t>preuzeto iz izvora 12</w:t>
      </w:r>
      <w:r w:rsidR="0089798E">
        <w:t>.</w:t>
      </w:r>
    </w:p>
    <w:p w14:paraId="50FD7565" w14:textId="5EFD2961" w:rsidR="000712AE" w:rsidRPr="00761D21" w:rsidRDefault="00EC7F22" w:rsidP="006D02E8">
      <w:pPr>
        <w:pStyle w:val="Style3"/>
      </w:pPr>
      <w:bookmarkStart w:id="3" w:name="_Toc227847314"/>
      <w:r>
        <w:t xml:space="preserve">Analiza kompleksa bakra </w:t>
      </w:r>
      <w:r w:rsidR="00711B75">
        <w:t>EPR spektroskopijom</w:t>
      </w:r>
      <w:bookmarkEnd w:id="3"/>
    </w:p>
    <w:p w14:paraId="268D73CB" w14:textId="23069791" w:rsidR="0081551E" w:rsidRDefault="0081551E" w:rsidP="00FF6067">
      <w:pPr>
        <w:pStyle w:val="Style1"/>
        <w:ind w:firstLine="708"/>
      </w:pPr>
      <w:r w:rsidRPr="0081551E">
        <w:t>Strukturna raznolikost bakrovih(II) kompleksa povezana</w:t>
      </w:r>
      <w:r w:rsidR="007A1733">
        <w:t xml:space="preserve"> je</w:t>
      </w:r>
      <w:r w:rsidRPr="0081551E">
        <w:t xml:space="preserve"> s njegovim</w:t>
      </w:r>
      <w:r>
        <w:t xml:space="preserve"> d</w:t>
      </w:r>
      <w:r w:rsidRPr="0081551E">
        <w:rPr>
          <w:vertAlign w:val="superscript"/>
        </w:rPr>
        <w:t>9</w:t>
      </w:r>
      <w:r w:rsidRPr="0081551E">
        <w:t xml:space="preserve"> sustavom. </w:t>
      </w:r>
      <w:r>
        <w:t>Takav sustav</w:t>
      </w:r>
      <w:r w:rsidRPr="0081551E">
        <w:t xml:space="preserve"> omogućuje formiranje različitih koordinacijskih poliedara sa značajno različitim geometrijama. Bakar(II) se</w:t>
      </w:r>
      <w:r>
        <w:t xml:space="preserve"> stoga</w:t>
      </w:r>
      <w:r w:rsidRPr="0081551E">
        <w:t xml:space="preserve"> pojavljuje u brojnim spojevima različitih struktura, općenito kao </w:t>
      </w:r>
      <w:r>
        <w:t>mon</w:t>
      </w:r>
      <w:r w:rsidRPr="0081551E">
        <w:t>onuklearna, binuklearna ili polinuklearna vrsta.</w:t>
      </w:r>
      <w:r w:rsidR="00E0038D" w:rsidRPr="0089798E">
        <w:rPr>
          <w:vertAlign w:val="superscript"/>
        </w:rPr>
        <w:t>5</w:t>
      </w:r>
      <w:r w:rsidR="00A4633D" w:rsidRPr="0089798E">
        <w:rPr>
          <w:vertAlign w:val="superscript"/>
        </w:rPr>
        <w:t>-</w:t>
      </w:r>
      <w:r w:rsidR="00E0038D" w:rsidRPr="0089798E">
        <w:rPr>
          <w:vertAlign w:val="superscript"/>
        </w:rPr>
        <w:t>9</w:t>
      </w:r>
    </w:p>
    <w:p w14:paraId="1B9FECE5" w14:textId="6293B522" w:rsidR="00D5567B" w:rsidRPr="00EC7F22" w:rsidRDefault="004A6F19" w:rsidP="00FF6067">
      <w:pPr>
        <w:pStyle w:val="Style1"/>
      </w:pPr>
      <w:r>
        <w:t xml:space="preserve">U analizi bakrovih(II) spojeva primjenom EPR spektroskopije, sustavi se primarno klasificiraju prema njihovom ukupnom spinskom stanju, pri čemu </w:t>
      </w:r>
      <w:r w:rsidR="00B10C77">
        <w:t xml:space="preserve">razlikujemo sustave sa spinom </w:t>
      </w:r>
      <w:r w:rsidR="00B10C77" w:rsidRPr="00B10C77">
        <w:rPr>
          <w:i/>
        </w:rPr>
        <w:t>S</w:t>
      </w:r>
      <w:r w:rsidR="00B10C77">
        <w:t xml:space="preserve"> = ½ i </w:t>
      </w:r>
      <w:r w:rsidR="00B10C77" w:rsidRPr="00B10C77">
        <w:rPr>
          <w:i/>
        </w:rPr>
        <w:t>S</w:t>
      </w:r>
      <w:r w:rsidR="00B10C77">
        <w:t xml:space="preserve"> = 1. Mononuklearni i polinuklearni koordinacijski spojevi bez magnetske interakcije između metalnih centara</w:t>
      </w:r>
      <w:r w:rsidR="00B10C77" w:rsidRPr="00EC7F22">
        <w:t>, primjer su paramagnetskog sustava sa spinom</w:t>
      </w:r>
      <w:r w:rsidR="00B10C77" w:rsidRPr="00EC7F22">
        <w:rPr>
          <w:i/>
        </w:rPr>
        <w:t xml:space="preserve"> S</w:t>
      </w:r>
      <w:r w:rsidR="00B10C77" w:rsidRPr="00EC7F22">
        <w:t xml:space="preserve"> = ½. S druge strane, binuklearni kompleksi često pokazuju spinsko stanje </w:t>
      </w:r>
      <w:r w:rsidR="00B10C77" w:rsidRPr="00EC7F22">
        <w:rPr>
          <w:i/>
        </w:rPr>
        <w:t>S</w:t>
      </w:r>
      <w:r w:rsidR="00B10C77" w:rsidRPr="00EC7F22">
        <w:t xml:space="preserve"> = 1. Ono nastaje uslijed magnetske sprege dvaju susjednih bakrovih(II) iona</w:t>
      </w:r>
      <w:r w:rsidR="00FD1D29" w:rsidRPr="00EC7F22">
        <w:t xml:space="preserve"> sa spinom </w:t>
      </w:r>
      <w:r w:rsidR="00FD1D29" w:rsidRPr="00574647">
        <w:rPr>
          <w:i/>
        </w:rPr>
        <w:t>S</w:t>
      </w:r>
      <w:r w:rsidR="00FD1D29" w:rsidRPr="00EC7F22">
        <w:t xml:space="preserve"> = ½ </w:t>
      </w:r>
      <w:r w:rsidR="00B10C77" w:rsidRPr="00EC7F22">
        <w:t xml:space="preserve"> preko premošćujućeg liganda. </w:t>
      </w:r>
      <w:r w:rsidR="00D5567B" w:rsidRPr="00EC7F22">
        <w:t>Ova interakcija najčešće rezultira feromagnetskim ili antiferomagnetskim ponašanjem sustava. Feromagnetizam je definiran pozitivnom vrijednošću interakcije izmjene (2</w:t>
      </w:r>
      <w:r w:rsidR="00D5567B" w:rsidRPr="00EC7F22">
        <w:rPr>
          <w:i/>
        </w:rPr>
        <w:t>J</w:t>
      </w:r>
      <w:r w:rsidR="00D5567B" w:rsidRPr="00EC7F22">
        <w:t xml:space="preserve"> &gt; 0), pri čemu je osnovno stanje triplet (</w:t>
      </w:r>
      <w:r w:rsidR="00D5567B" w:rsidRPr="00EC7F22">
        <w:rPr>
          <w:i/>
        </w:rPr>
        <w:t>S</w:t>
      </w:r>
      <w:r w:rsidR="00D5567B" w:rsidRPr="00EC7F22">
        <w:t xml:space="preserve"> = 1), dok je prvo pobuđeno stanje singlet (</w:t>
      </w:r>
      <w:r w:rsidR="00D5567B" w:rsidRPr="00574647">
        <w:rPr>
          <w:i/>
        </w:rPr>
        <w:t>S</w:t>
      </w:r>
      <w:r w:rsidR="00D5567B" w:rsidRPr="00EC7F22">
        <w:t xml:space="preserve"> = 0). Antiferomagnetizam je definiran negativnom vrijednošću parametra 2</w:t>
      </w:r>
      <w:r w:rsidR="00D5567B" w:rsidRPr="00EC7F22">
        <w:rPr>
          <w:i/>
        </w:rPr>
        <w:t>J</w:t>
      </w:r>
      <w:r w:rsidR="00D5567B" w:rsidRPr="00EC7F22">
        <w:t xml:space="preserve"> te u ovom slučaju je osnovno stanje singlet (</w:t>
      </w:r>
      <w:r w:rsidR="00D5567B" w:rsidRPr="00EC7F22">
        <w:rPr>
          <w:i/>
        </w:rPr>
        <w:t>S</w:t>
      </w:r>
      <w:r w:rsidR="00D5567B" w:rsidRPr="00EC7F22">
        <w:t xml:space="preserve"> = 0), a triplet (</w:t>
      </w:r>
      <w:r w:rsidR="00D5567B" w:rsidRPr="00EC7F22">
        <w:rPr>
          <w:i/>
        </w:rPr>
        <w:t>S</w:t>
      </w:r>
      <w:r w:rsidR="00D5567B" w:rsidRPr="00EC7F22">
        <w:t xml:space="preserve"> = 1) je prvo pobuđeno stanje.</w:t>
      </w:r>
      <w:r w:rsidR="001274A1" w:rsidRPr="0089798E">
        <w:rPr>
          <w:vertAlign w:val="superscript"/>
        </w:rPr>
        <w:t>10</w:t>
      </w:r>
    </w:p>
    <w:p w14:paraId="614FBEDE" w14:textId="7C1CEC76" w:rsidR="00E0038D" w:rsidRDefault="00E0038D" w:rsidP="00FF6067">
      <w:pPr>
        <w:pStyle w:val="Style1"/>
      </w:pPr>
      <w:r>
        <w:t>K</w:t>
      </w:r>
      <w:r w:rsidRPr="00E0038D">
        <w:t>ao prvi primjer sustava, izolirani su kompleksi s jednim bakrovim(II) ionom u koord</w:t>
      </w:r>
      <w:r>
        <w:t xml:space="preserve">inacijskoj sferi uz bidentatne O,O' </w:t>
      </w:r>
      <w:r w:rsidRPr="00E0038D">
        <w:t>ligande (karboksilat i metoksifenol). Doda</w:t>
      </w:r>
      <w:r w:rsidR="007A1733">
        <w:t>tni dušikovi ili kisikovi donirajući</w:t>
      </w:r>
      <w:r w:rsidR="00ED082F">
        <w:t xml:space="preserve"> </w:t>
      </w:r>
      <w:r w:rsidRPr="00E0038D">
        <w:t>ligandi upotpunjuju koordinaciju do</w:t>
      </w:r>
      <w:r w:rsidR="007A1733">
        <w:t xml:space="preserve"> </w:t>
      </w:r>
      <w:r w:rsidRPr="00E0038D">
        <w:t>Jahn-Tellerovog distordiranog oktaedra.</w:t>
      </w:r>
      <w:r w:rsidR="00AB6E0A">
        <w:t xml:space="preserve"> </w:t>
      </w:r>
      <w:r w:rsidR="00AB6E0A" w:rsidRPr="00AB6E0A">
        <w:t xml:space="preserve">Dva tipa bidentatnih koordinacijskih skupina </w:t>
      </w:r>
      <w:r w:rsidR="00AB6E0A">
        <w:t>razlikuju se prema vrsti mosta</w:t>
      </w:r>
      <w:r w:rsidR="00AB6E0A" w:rsidRPr="00AB6E0A">
        <w:t xml:space="preserve"> koji povezuje koordinirajuće kisikove atome. Kod karboksilatnih liganada taj most čini skupina O–C–O, dok </w:t>
      </w:r>
      <w:r w:rsidR="00AB6E0A" w:rsidRPr="00AB6E0A">
        <w:lastRenderedPageBreak/>
        <w:t>kod metoksifenolnih liganada on iznosi O–C–C–O. Načini vezanja karboksilata u prikazanim kompleksima variraju od simetričnog kelata, preko asimetričnog kelata, pa sve do monodentatne koordinacije (S</w:t>
      </w:r>
      <w:r w:rsidR="00AB6E0A">
        <w:t>lika 4).</w:t>
      </w:r>
      <w:r w:rsidR="001B5819" w:rsidRPr="0089798E">
        <w:rPr>
          <w:vertAlign w:val="superscript"/>
        </w:rPr>
        <w:t>10</w:t>
      </w:r>
    </w:p>
    <w:p w14:paraId="4B5A34E5" w14:textId="77777777" w:rsidR="00A0199C" w:rsidRDefault="00A0199C" w:rsidP="00A0199C">
      <w:pPr>
        <w:jc w:val="center"/>
        <w:rPr>
          <w:rFonts w:ascii="Times New Roman" w:hAnsi="Times New Roman" w:cs="Times New Roman"/>
          <w:sz w:val="24"/>
        </w:rPr>
      </w:pPr>
      <w:r w:rsidRPr="00A0199C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64D7655D" wp14:editId="7C804E0F">
            <wp:extent cx="3273012" cy="21600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301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C24C2" w14:textId="4CE8425D" w:rsidR="00A0199C" w:rsidRDefault="00A0199C" w:rsidP="001F666E">
      <w:pPr>
        <w:pStyle w:val="imagetitle"/>
      </w:pPr>
      <w:r w:rsidRPr="001F666E">
        <w:rPr>
          <w:b/>
          <w:bCs/>
        </w:rPr>
        <w:t>Slika 4.</w:t>
      </w:r>
      <w:r>
        <w:t xml:space="preserve"> </w:t>
      </w:r>
      <w:r w:rsidRPr="00A0199C">
        <w:t>Različiti načini koordinacije ligan</w:t>
      </w:r>
      <w:r>
        <w:t>da karboksilata</w:t>
      </w:r>
      <w:r w:rsidRPr="00A0199C">
        <w:t xml:space="preserve"> na metalni</w:t>
      </w:r>
      <w:r>
        <w:t xml:space="preserve"> centar bakra: </w:t>
      </w:r>
      <w:r w:rsidRPr="001F666E">
        <w:rPr>
          <w:b/>
          <w:bCs/>
        </w:rPr>
        <w:t>(a)</w:t>
      </w:r>
      <w:r>
        <w:t xml:space="preserve"> simetrični kelat, </w:t>
      </w:r>
      <w:r w:rsidRPr="001F666E">
        <w:rPr>
          <w:b/>
          <w:bCs/>
        </w:rPr>
        <w:t>(b)</w:t>
      </w:r>
      <w:r w:rsidRPr="00A0199C">
        <w:t xml:space="preserve"> asim</w:t>
      </w:r>
      <w:r>
        <w:t>etrični kelat</w:t>
      </w:r>
      <w:r w:rsidRPr="00A0199C">
        <w:t xml:space="preserve">, </w:t>
      </w:r>
      <w:r w:rsidRPr="001F666E">
        <w:rPr>
          <w:b/>
          <w:bCs/>
        </w:rPr>
        <w:t>(c)</w:t>
      </w:r>
      <w:r w:rsidRPr="00A0199C">
        <w:t xml:space="preserve"> monodentatna</w:t>
      </w:r>
      <w:r>
        <w:t xml:space="preserve"> kelatna</w:t>
      </w:r>
      <w:r w:rsidRPr="00A0199C">
        <w:t xml:space="preserve"> koordinacija te </w:t>
      </w:r>
      <w:r w:rsidRPr="001F666E">
        <w:rPr>
          <w:b/>
          <w:bCs/>
        </w:rPr>
        <w:t>(d)</w:t>
      </w:r>
      <w:r w:rsidRPr="00A0199C">
        <w:t xml:space="preserve"> asimetrična kelatna koor</w:t>
      </w:r>
      <w:r>
        <w:t>dinacija liganada fenolnog tipa</w:t>
      </w:r>
      <w:r w:rsidR="0089798E">
        <w:t xml:space="preserve">, </w:t>
      </w:r>
      <w:r>
        <w:t>preuzet</w:t>
      </w:r>
      <w:r w:rsidR="00374988">
        <w:t>o</w:t>
      </w:r>
      <w:r>
        <w:t xml:space="preserve"> iz izvora 10</w:t>
      </w:r>
      <w:r w:rsidR="0089798E">
        <w:t>.</w:t>
      </w:r>
    </w:p>
    <w:p w14:paraId="0D0B1214" w14:textId="77777777" w:rsidR="001D1FFC" w:rsidRDefault="00AB6E0A" w:rsidP="00FF6067">
      <w:pPr>
        <w:pStyle w:val="Style1"/>
      </w:pPr>
      <w:r w:rsidRPr="00AB6E0A">
        <w:t>U analizi mononukl</w:t>
      </w:r>
      <w:r>
        <w:t>earnih bakrovih(II) kompleksa (</w:t>
      </w:r>
      <w:r w:rsidRPr="00EC7F22">
        <w:rPr>
          <w:i/>
        </w:rPr>
        <w:t>S</w:t>
      </w:r>
      <w:r>
        <w:t xml:space="preserve"> = ½</w:t>
      </w:r>
      <w:r w:rsidRPr="00AB6E0A">
        <w:t>), najčešće se susreće aksijalna simetr</w:t>
      </w:r>
      <w:r>
        <w:t xml:space="preserve">ija signala gdje vrijedi odnos </w:t>
      </w:r>
      <w:r w:rsidR="00A3258C" w:rsidRPr="00A3258C">
        <w:rPr>
          <w:i/>
        </w:rPr>
        <w:t>g</w:t>
      </w:r>
      <w:r w:rsidR="00A3258C" w:rsidRPr="00761D21">
        <w:rPr>
          <w:rFonts w:ascii="Cambria Math" w:hAnsi="Cambria Math" w:cs="Cambria Math"/>
          <w:vertAlign w:val="subscript"/>
        </w:rPr>
        <w:t>∥</w:t>
      </w:r>
      <w:r w:rsidR="00A3258C">
        <w:t xml:space="preserve"> &gt;</w:t>
      </w:r>
      <w:r w:rsidR="00A3258C" w:rsidRPr="00761D21">
        <w:t xml:space="preserve"> </w:t>
      </w:r>
      <w:r w:rsidR="00A3258C" w:rsidRPr="00761D21">
        <w:rPr>
          <w:i/>
        </w:rPr>
        <w:t>g</w:t>
      </w:r>
      <w:r w:rsidR="00A3258C" w:rsidRPr="00761D21">
        <w:rPr>
          <w:rFonts w:ascii="Cambria Math" w:hAnsi="Cambria Math" w:cs="Cambria Math"/>
          <w:vertAlign w:val="subscript"/>
        </w:rPr>
        <w:t>⊥</w:t>
      </w:r>
      <w:r w:rsidRPr="00AB6E0A">
        <w:t xml:space="preserve">. Ovakav profil spektra izravna je fizikalna potvrda tetragonalne elongacije </w:t>
      </w:r>
      <w:r>
        <w:t xml:space="preserve">koordinacijske sfere duž </w:t>
      </w:r>
      <w:r w:rsidRPr="00EC7F22">
        <w:t>z-</w:t>
      </w:r>
      <w:r w:rsidRPr="00AB6E0A">
        <w:t>osi</w:t>
      </w:r>
      <w:r w:rsidR="00C50840">
        <w:t xml:space="preserve"> (slika 5.a)</w:t>
      </w:r>
      <w:r w:rsidRPr="00AB6E0A">
        <w:t xml:space="preserve">, što je </w:t>
      </w:r>
      <w:r w:rsidR="00A3258C">
        <w:t xml:space="preserve">opisano </w:t>
      </w:r>
      <w:r w:rsidRPr="00AB6E0A">
        <w:t>Jahn-Tellerovim teoremom.</w:t>
      </w:r>
    </w:p>
    <w:p w14:paraId="7CC13672" w14:textId="77777777" w:rsidR="00C50840" w:rsidRDefault="00DE5293" w:rsidP="00FF6067">
      <w:pPr>
        <w:pStyle w:val="Style1"/>
      </w:pPr>
      <w:r>
        <w:t>Osim uobičajenih aksijalnih spektara</w:t>
      </w:r>
      <w:r w:rsidR="001D1FFC">
        <w:t>, neki bakrovi(II) spojevi daju spektre sa samo jednim signalom (oko 320 mT) što ukazuje na izotropnu simetriju (</w:t>
      </w:r>
      <w:r w:rsidR="001D1FFC" w:rsidRPr="001D1FFC">
        <w:rPr>
          <w:i/>
        </w:rPr>
        <w:t>g</w:t>
      </w:r>
      <w:r w:rsidR="001D1FFC" w:rsidRPr="001D1FFC">
        <w:rPr>
          <w:vertAlign w:val="subscript"/>
        </w:rPr>
        <w:t>x</w:t>
      </w:r>
      <w:r w:rsidR="001D1FFC">
        <w:t xml:space="preserve"> = </w:t>
      </w:r>
      <w:r w:rsidR="001D1FFC" w:rsidRPr="001D1FFC">
        <w:rPr>
          <w:i/>
        </w:rPr>
        <w:t>g</w:t>
      </w:r>
      <w:r w:rsidR="001D1FFC" w:rsidRPr="001D1FFC">
        <w:rPr>
          <w:vertAlign w:val="subscript"/>
        </w:rPr>
        <w:t>y</w:t>
      </w:r>
      <w:r w:rsidR="001D1FFC">
        <w:t xml:space="preserve"> = </w:t>
      </w:r>
      <w:r w:rsidR="001D1FFC" w:rsidRPr="001D1FFC">
        <w:rPr>
          <w:i/>
        </w:rPr>
        <w:t>g</w:t>
      </w:r>
      <w:r w:rsidR="001D1FFC" w:rsidRPr="001D1FFC">
        <w:rPr>
          <w:vertAlign w:val="subscript"/>
        </w:rPr>
        <w:t>z</w:t>
      </w:r>
      <w:r w:rsidR="001D1FFC">
        <w:t>)</w:t>
      </w:r>
      <w:r w:rsidR="00CC6439">
        <w:t>. Takav spektar ukazuje na visoku simetriju, odnosno upućuje da su sve koordinacijske veze u oktaedru ili kvadratnoj piramidi podjednakih duljina pri čemu se gubi anizotropija</w:t>
      </w:r>
      <w:r w:rsidR="00C50840">
        <w:t xml:space="preserve"> (slika 5.d)</w:t>
      </w:r>
      <w:r w:rsidR="00CC6439">
        <w:t xml:space="preserve">. Također, može upućivati na polinuklearni sustav bez magnetske sprege u slučaju da su metalni centri povezani preko orbitala koje ne dopuštaju učinkovito preklapanje (npr. popunjena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z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="00CC6439">
        <w:t xml:space="preserve"> orbitala).</w:t>
      </w:r>
      <w:r w:rsidR="00C50840">
        <w:t xml:space="preserve"> </w:t>
      </w:r>
    </w:p>
    <w:p w14:paraId="1B52A190" w14:textId="77777777" w:rsidR="00DE5293" w:rsidRDefault="00C50840" w:rsidP="00FF6067">
      <w:pPr>
        <w:pStyle w:val="Style1"/>
      </w:pPr>
      <w:r w:rsidRPr="00C50840">
        <w:t>Treći tip EPR spektra bakra(II) karakteriziraju tri zasebna signala</w:t>
      </w:r>
      <w:r>
        <w:t xml:space="preserve"> te su sve tri </w:t>
      </w:r>
      <w:r w:rsidRPr="00C50840">
        <w:t>osi magnetskog tenzora</w:t>
      </w:r>
      <w:r>
        <w:t xml:space="preserve"> različitih duljina</w:t>
      </w:r>
      <w:r w:rsidRPr="00C50840">
        <w:t xml:space="preserve"> </w:t>
      </w:r>
      <w:r>
        <w:t>(</w:t>
      </w:r>
      <w:r w:rsidRPr="001D1FFC">
        <w:rPr>
          <w:i/>
        </w:rPr>
        <w:t>g</w:t>
      </w:r>
      <w:r w:rsidRPr="001D1FFC">
        <w:rPr>
          <w:vertAlign w:val="subscript"/>
        </w:rPr>
        <w:t>x</w:t>
      </w:r>
      <w:r>
        <w:t xml:space="preserve"> ≠ </w:t>
      </w:r>
      <w:r w:rsidRPr="001D1FFC">
        <w:rPr>
          <w:i/>
        </w:rPr>
        <w:t>g</w:t>
      </w:r>
      <w:r w:rsidRPr="001D1FFC">
        <w:rPr>
          <w:vertAlign w:val="subscript"/>
        </w:rPr>
        <w:t>y</w:t>
      </w:r>
      <w:r>
        <w:t xml:space="preserve"> ≠ </w:t>
      </w:r>
      <w:r w:rsidRPr="001D1FFC">
        <w:rPr>
          <w:i/>
        </w:rPr>
        <w:t>g</w:t>
      </w:r>
      <w:r w:rsidRPr="001D1FFC">
        <w:rPr>
          <w:vertAlign w:val="subscript"/>
        </w:rPr>
        <w:t>z</w:t>
      </w:r>
      <w:r>
        <w:t>)</w:t>
      </w:r>
      <w:r w:rsidRPr="00C50840">
        <w:t xml:space="preserve">, što ukazuje na rompsku simetriju </w:t>
      </w:r>
      <w:r>
        <w:t xml:space="preserve">koordinacijske sfere (slika 5.c). </w:t>
      </w:r>
      <w:r w:rsidRPr="00C50840">
        <w:t>Glav</w:t>
      </w:r>
      <w:r>
        <w:t xml:space="preserve">ni uzrok ovakve diferencijacije je </w:t>
      </w:r>
      <w:r w:rsidRPr="00C50840">
        <w:t>prisutnost različitih vrsta liganada oko središnjeg bakrova(II) iona. Čak i kada su duljine veza slične, različit kemijski identitet donorskih atoma (npr. kisik iz vode naspram kisika iz metoksi-skupine kod kompleksa vanilina) uzrokuje asimetričnu raspodjelu elektronske gustoće. Ovakvi spektri su od iznimne važnosti u modernoj koordinacijskoj kemiji jer omogućuju precizno razlikovanje strukturnih izomera koji bi se drugim metodama činili identičnima.</w:t>
      </w:r>
    </w:p>
    <w:p w14:paraId="4C0CC563" w14:textId="77777777" w:rsidR="001B5819" w:rsidRDefault="001B5819" w:rsidP="00FF6067">
      <w:pPr>
        <w:pStyle w:val="Style1"/>
      </w:pPr>
      <w:r>
        <w:lastRenderedPageBreak/>
        <w:t>Manje čest slučaj je</w:t>
      </w:r>
      <w:r w:rsidRPr="001B5819">
        <w:t xml:space="preserve"> kod određenih mononuklearnih bakrovih(II) sustava </w:t>
      </w:r>
      <w:r>
        <w:t xml:space="preserve">koji daju </w:t>
      </w:r>
      <w:r w:rsidRPr="001B5819">
        <w:t xml:space="preserve">spektre stisnutog aksijalnog tipa, gdje vrijedi odnos </w:t>
      </w:r>
      <w:r w:rsidRPr="00A3258C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∥</w:t>
      </w:r>
      <w:r>
        <w:t xml:space="preserve"> &lt;</w:t>
      </w:r>
      <w:r w:rsidRPr="00761D21">
        <w:t xml:space="preserve"> </w:t>
      </w:r>
      <w:r w:rsidRPr="00761D21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⊥</w:t>
      </w:r>
      <w:r w:rsidRPr="00AB6E0A">
        <w:t>.</w:t>
      </w:r>
      <w:r>
        <w:t xml:space="preserve"> </w:t>
      </w:r>
      <w:r w:rsidRPr="001B5819">
        <w:t>Ovakav profil ukazuje na to da</w:t>
      </w:r>
      <w:r>
        <w:t xml:space="preserve"> je koordinacijska z-os </w:t>
      </w:r>
      <w:r w:rsidRPr="001B5819">
        <w:t>z</w:t>
      </w:r>
      <w:r>
        <w:t>načajno kraća od x i y osi</w:t>
      </w:r>
      <w:r w:rsidR="008653CC">
        <w:t xml:space="preserve"> (slika 5.b)</w:t>
      </w:r>
      <w:r w:rsidRPr="001B5819">
        <w:t xml:space="preserve">. Za razliku od većine kompleksa s osnovnim stanjem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  <m:r>
              <m:rPr>
                <m:nor/>
              </m:rPr>
              <w:rPr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Pr="001B5819">
        <w:t xml:space="preserve">, kod ovih je spojeva osnovno stanje opisano orbitalom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z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Pr="001B5819">
        <w:t>.</w:t>
      </w:r>
      <w:r w:rsidR="00A04768">
        <w:t xml:space="preserve"> </w:t>
      </w:r>
      <w:r w:rsidR="00A04768" w:rsidRPr="00A04768">
        <w:t>Ova pojava objašnjava se pseudo Jahn-Tellerovom distorzijom i libracijskim dinamičkim neredom. Pri višim temperaturama, termičko gibanje (titranje) osi uzrokuje prividno izjednačavanje duljina veza, što rezultira prividno višom simetrijom u strukturi. Hlađenjem sustava</w:t>
      </w:r>
      <w:r w:rsidR="00A04768">
        <w:t xml:space="preserve"> (115 K)</w:t>
      </w:r>
      <w:r w:rsidR="00A04768" w:rsidRPr="00A04768">
        <w:t xml:space="preserve"> </w:t>
      </w:r>
      <w:r w:rsidR="00A04768">
        <w:t>te slobode kretanja se zamrzavaju</w:t>
      </w:r>
      <w:r w:rsidR="00A04768" w:rsidRPr="00A04768">
        <w:t>, otkrivajući stvarnu, nižu rompsku simetriju kompleksa.</w:t>
      </w:r>
    </w:p>
    <w:p w14:paraId="20FD4A06" w14:textId="77777777" w:rsidR="00C50840" w:rsidRDefault="00C50840" w:rsidP="001F666E">
      <w:pPr>
        <w:jc w:val="center"/>
        <w:rPr>
          <w:rFonts w:ascii="Times New Roman" w:hAnsi="Times New Roman" w:cs="Times New Roman"/>
          <w:sz w:val="24"/>
        </w:rPr>
      </w:pPr>
      <w:r w:rsidRPr="00C50840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0E331883" wp14:editId="164F850B">
            <wp:extent cx="5400000" cy="1597022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59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D809A" w14:textId="6D2D419A" w:rsidR="00C50840" w:rsidRDefault="00C50840" w:rsidP="001F666E">
      <w:pPr>
        <w:pStyle w:val="imagetitle"/>
      </w:pPr>
      <w:r w:rsidRPr="001F666E">
        <w:rPr>
          <w:b/>
          <w:bCs/>
        </w:rPr>
        <w:t>Slika 5</w:t>
      </w:r>
      <w:r>
        <w:t>. Shema rasporeda koordinacijskih veznih orbitala kroz različite</w:t>
      </w:r>
      <w:r w:rsidR="007D30B8">
        <w:t xml:space="preserve"> bakrove(II)</w:t>
      </w:r>
      <w:r>
        <w:t xml:space="preserve"> oktaed</w:t>
      </w:r>
      <w:r w:rsidR="007D30B8">
        <w:t xml:space="preserve">arske koordinacijske sfere: </w:t>
      </w:r>
      <w:r w:rsidR="007D30B8" w:rsidRPr="001F666E">
        <w:rPr>
          <w:b/>
          <w:bCs/>
        </w:rPr>
        <w:t>(a)</w:t>
      </w:r>
      <w:r w:rsidR="007D30B8">
        <w:t xml:space="preserve"> aksijalna elongacija, </w:t>
      </w:r>
      <w:r w:rsidR="007D30B8" w:rsidRPr="001F666E">
        <w:rPr>
          <w:b/>
          <w:bCs/>
        </w:rPr>
        <w:t>(b)</w:t>
      </w:r>
      <w:r w:rsidR="007D30B8">
        <w:t xml:space="preserve"> aksijalna kompresija, </w:t>
      </w:r>
      <w:r w:rsidR="007D30B8" w:rsidRPr="001F666E">
        <w:rPr>
          <w:b/>
          <w:bCs/>
        </w:rPr>
        <w:t>(c)</w:t>
      </w:r>
      <w:r w:rsidR="007D30B8">
        <w:t xml:space="preserve"> rompska, </w:t>
      </w:r>
      <w:r w:rsidR="007D30B8" w:rsidRPr="001F666E">
        <w:rPr>
          <w:b/>
          <w:bCs/>
        </w:rPr>
        <w:t>(d)</w:t>
      </w:r>
      <w:r w:rsidR="007D30B8">
        <w:t xml:space="preserve"> izotropna. Udaljenost između orbitale liganda p</w:t>
      </w:r>
      <w:r w:rsidR="007D30B8" w:rsidRPr="007D30B8">
        <w:rPr>
          <w:vertAlign w:val="subscript"/>
        </w:rPr>
        <w:t>x</w:t>
      </w:r>
      <w:r w:rsidR="007D30B8">
        <w:t xml:space="preserve"> i bakrovih</w:t>
      </w:r>
      <w:r w:rsidR="002865A8"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  <m:r>
              <m:rPr>
                <m:nor/>
              </m:rPr>
              <w:rPr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="002865A8" w:rsidRPr="00805771">
        <w:rPr>
          <w:rFonts w:eastAsiaTheme="minorEastAsia"/>
          <w:szCs w:val="24"/>
        </w:rPr>
        <w:t xml:space="preserve"> 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z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="007D30B8">
        <w:t xml:space="preserve"> orbitala ukazuje </w:t>
      </w:r>
      <w:r w:rsidR="00BB4DBC">
        <w:t>na duljinu koordinacijskih veza</w:t>
      </w:r>
      <w:r w:rsidR="0089798E">
        <w:t xml:space="preserve">, </w:t>
      </w:r>
      <w:r w:rsidR="00BB4DBC">
        <w:t>preuzeto iz izvora 10.</w:t>
      </w:r>
    </w:p>
    <w:p w14:paraId="110B652C" w14:textId="77777777" w:rsidR="006D440B" w:rsidRPr="006D440B" w:rsidRDefault="006D440B" w:rsidP="00FF6067">
      <w:pPr>
        <w:pStyle w:val="Style1"/>
        <w:rPr>
          <w:lang w:eastAsia="hr-HR"/>
        </w:rPr>
      </w:pPr>
      <w:r>
        <w:rPr>
          <w:lang w:eastAsia="hr-HR"/>
        </w:rPr>
        <w:t>Zaključno</w:t>
      </w:r>
      <w:r w:rsidRPr="006D440B">
        <w:rPr>
          <w:lang w:eastAsia="hr-HR"/>
        </w:rPr>
        <w:t>, prikaza</w:t>
      </w:r>
      <w:r>
        <w:rPr>
          <w:lang w:eastAsia="hr-HR"/>
        </w:rPr>
        <w:t xml:space="preserve">ne varijacije u EPR spektrima </w:t>
      </w:r>
      <w:r w:rsidRPr="006D440B">
        <w:rPr>
          <w:lang w:eastAsia="hr-HR"/>
        </w:rPr>
        <w:t xml:space="preserve">demonstriraju osjetljivost ove tehnike na </w:t>
      </w:r>
      <w:r>
        <w:rPr>
          <w:lang w:eastAsia="hr-HR"/>
        </w:rPr>
        <w:t>detaljnije</w:t>
      </w:r>
      <w:r w:rsidRPr="006D440B">
        <w:rPr>
          <w:lang w:eastAsia="hr-HR"/>
        </w:rPr>
        <w:t xml:space="preserve"> promjene u elektronskoj strukturi i geometriji bakrova(II) iona. Razumijevanje korelacije između orbitalnog osnovnog stanja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i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x</m:t>
                </m:r>
              </m:e>
              <m:sup>
                <m:r>
                  <m:rPr>
                    <m:nor/>
                  </m:rPr>
                  <m:t>2</m:t>
                </m:r>
              </m:sup>
            </m:sSup>
            <m:r>
              <m:rPr>
                <m:nor/>
              </m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y</m:t>
                </m:r>
              </m:e>
              <m:sup>
                <m:r>
                  <m:rPr>
                    <m:nor/>
                  </m:rPr>
                  <m:t>2</m:t>
                </m:r>
              </m:sup>
            </m:sSup>
          </m:sub>
        </m:sSub>
      </m:oMath>
      <w:r w:rsidRPr="00805771">
        <w:rPr>
          <w:rFonts w:eastAsiaTheme="minorEastAsia"/>
        </w:rPr>
        <w:t xml:space="preserve"> i</w:t>
      </w:r>
      <w:r>
        <w:rPr>
          <w:rFonts w:eastAsiaTheme="minorEastAsia"/>
        </w:rPr>
        <w:t>li</w:t>
      </w:r>
      <w:r w:rsidRPr="00805771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i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z</m:t>
                </m:r>
              </m:e>
              <m:sup>
                <m:r>
                  <m:rPr>
                    <m:nor/>
                  </m:rPr>
                  <m:t>2</m:t>
                </m:r>
              </m:sup>
            </m:sSup>
          </m:sub>
        </m:sSub>
      </m:oMath>
      <w:r w:rsidRPr="006D440B">
        <w:rPr>
          <w:lang w:eastAsia="hr-HR"/>
        </w:rPr>
        <w:t xml:space="preserve"> i simetrije koordinacijske sfere ključno je za preciznu karakterizaciju složenih koordinacijskih sustava, ali i za predviđanje njihove reaktivnosti i magnetskog ponašanja.</w:t>
      </w:r>
    </w:p>
    <w:p w14:paraId="74309343" w14:textId="281A617A" w:rsidR="004771F0" w:rsidRPr="00574647" w:rsidRDefault="00F849C7" w:rsidP="00F849C7">
      <w:pPr>
        <w:pStyle w:val="Style2"/>
      </w:pPr>
      <w:bookmarkStart w:id="4" w:name="_Toc227847315"/>
      <w:r>
        <w:t>METODOLOGIJA</w:t>
      </w:r>
      <w:bookmarkEnd w:id="4"/>
    </w:p>
    <w:p w14:paraId="1F39CF2E" w14:textId="77777777" w:rsidR="00A05592" w:rsidRPr="00245EDF" w:rsidRDefault="00A05592" w:rsidP="00FF6067">
      <w:pPr>
        <w:pStyle w:val="Style1"/>
        <w:ind w:firstLine="360"/>
        <w:rPr>
          <w:lang w:eastAsia="hr-HR"/>
        </w:rPr>
      </w:pPr>
      <w:r w:rsidRPr="00A05592">
        <w:rPr>
          <w:lang w:eastAsia="hr-HR"/>
        </w:rPr>
        <w:t xml:space="preserve">U radu se analiziraju EPR spektri praha serije kompleksa bakra(II) s etilendiaminom opće formule </w:t>
      </w:r>
      <w:r>
        <w:rPr>
          <w:lang w:eastAsia="hr-HR"/>
        </w:rPr>
        <w:t>[Cu(en)</w:t>
      </w:r>
      <w:r w:rsidRPr="00A05592">
        <w:rPr>
          <w:vertAlign w:val="subscript"/>
          <w:lang w:eastAsia="hr-HR"/>
        </w:rPr>
        <w:t>2</w:t>
      </w:r>
      <w:r>
        <w:rPr>
          <w:lang w:eastAsia="hr-HR"/>
        </w:rPr>
        <w:t>X</w:t>
      </w:r>
      <w:r w:rsidRPr="00A05592">
        <w:rPr>
          <w:vertAlign w:val="subscript"/>
          <w:lang w:eastAsia="hr-HR"/>
        </w:rPr>
        <w:t>2</w:t>
      </w:r>
      <w:r>
        <w:rPr>
          <w:lang w:eastAsia="hr-HR"/>
        </w:rPr>
        <w:t>]</w:t>
      </w:r>
      <w:r w:rsidRPr="00A05592">
        <w:rPr>
          <w:lang w:eastAsia="hr-HR"/>
        </w:rPr>
        <w:t xml:space="preserve"> (gdje su </w:t>
      </w:r>
      <w:r>
        <w:rPr>
          <w:lang w:eastAsia="hr-HR"/>
        </w:rPr>
        <w:t>X = ClO</w:t>
      </w:r>
      <w:r w:rsidRPr="00A05592">
        <w:rPr>
          <w:vertAlign w:val="subscript"/>
          <w:lang w:eastAsia="hr-HR"/>
        </w:rPr>
        <w:t>4</w:t>
      </w:r>
      <w:r w:rsidRPr="00A05592">
        <w:rPr>
          <w:vertAlign w:val="superscript"/>
          <w:lang w:eastAsia="hr-HR"/>
        </w:rPr>
        <w:t>–</w:t>
      </w:r>
      <w:r>
        <w:rPr>
          <w:lang w:eastAsia="hr-HR"/>
        </w:rPr>
        <w:t>, BF</w:t>
      </w:r>
      <w:r w:rsidRPr="00A05592">
        <w:rPr>
          <w:vertAlign w:val="subscript"/>
          <w:lang w:eastAsia="hr-HR"/>
        </w:rPr>
        <w:t>4</w:t>
      </w:r>
      <w:r w:rsidRPr="00A05592">
        <w:rPr>
          <w:vertAlign w:val="superscript"/>
          <w:lang w:eastAsia="hr-HR"/>
        </w:rPr>
        <w:t>–</w:t>
      </w:r>
      <w:r w:rsidRPr="00A05592">
        <w:rPr>
          <w:lang w:eastAsia="hr-HR"/>
        </w:rPr>
        <w:t xml:space="preserve"> i </w:t>
      </w:r>
      <w:r>
        <w:rPr>
          <w:lang w:eastAsia="hr-HR"/>
        </w:rPr>
        <w:t>NO</w:t>
      </w:r>
      <w:r w:rsidRPr="00A05592">
        <w:rPr>
          <w:vertAlign w:val="subscript"/>
          <w:lang w:eastAsia="hr-HR"/>
        </w:rPr>
        <w:t>3</w:t>
      </w:r>
      <w:r w:rsidRPr="00A05592">
        <w:rPr>
          <w:vertAlign w:val="superscript"/>
          <w:lang w:eastAsia="hr-HR"/>
        </w:rPr>
        <w:t>–</w:t>
      </w:r>
      <w:r w:rsidRPr="00A05592">
        <w:rPr>
          <w:lang w:eastAsia="hr-HR"/>
        </w:rPr>
        <w:t xml:space="preserve">). Rezultati ukazuju na uobičajeno </w:t>
      </w:r>
      <w:r w:rsidRPr="00A05592">
        <w:rPr>
          <w:bCs/>
          <w:lang w:eastAsia="hr-HR"/>
        </w:rPr>
        <w:t>tetragonalno okruženje</w:t>
      </w:r>
      <w:r w:rsidRPr="00A05592">
        <w:rPr>
          <w:lang w:eastAsia="hr-HR"/>
        </w:rPr>
        <w:t xml:space="preserve"> iona </w:t>
      </w:r>
      <w:r>
        <w:rPr>
          <w:lang w:eastAsia="hr-HR"/>
        </w:rPr>
        <w:t>Cu(II)</w:t>
      </w:r>
      <w:r w:rsidRPr="00A05592">
        <w:rPr>
          <w:lang w:eastAsia="hr-HR"/>
        </w:rPr>
        <w:t xml:space="preserve"> s dvije karakteristične vrijednosti </w:t>
      </w:r>
      <w:r w:rsidRPr="00A05592">
        <w:rPr>
          <w:i/>
          <w:lang w:eastAsia="hr-HR"/>
        </w:rPr>
        <w:t>g</w:t>
      </w:r>
      <w:r w:rsidRPr="00A05592">
        <w:rPr>
          <w:lang w:eastAsia="hr-HR"/>
        </w:rPr>
        <w:t>-faktora (</w:t>
      </w:r>
      <w:r w:rsidRPr="00A3258C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∥</w:t>
      </w:r>
      <w:r>
        <w:t xml:space="preserve"> i</w:t>
      </w:r>
      <w:r w:rsidRPr="00761D21">
        <w:t xml:space="preserve"> </w:t>
      </w:r>
      <w:r w:rsidRPr="00761D21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⊥</w:t>
      </w:r>
      <w:r w:rsidRPr="00A05592">
        <w:rPr>
          <w:lang w:eastAsia="hr-HR"/>
        </w:rPr>
        <w:t>), koje su obje veće od vrijednosti za slobodni elektron.</w:t>
      </w:r>
      <w:r>
        <w:rPr>
          <w:lang w:eastAsia="hr-HR"/>
        </w:rPr>
        <w:t xml:space="preserve"> Spektar </w:t>
      </w:r>
      <w:r w:rsidR="00EC1132" w:rsidRPr="00AE61EE">
        <w:t>[Cu(en)</w:t>
      </w:r>
      <w:r w:rsidR="00EC1132" w:rsidRPr="00AE61EE">
        <w:rPr>
          <w:vertAlign w:val="subscript"/>
        </w:rPr>
        <w:t>2</w:t>
      </w:r>
      <w:r w:rsidR="00EC1132" w:rsidRPr="00AE61EE">
        <w:t>(ClO</w:t>
      </w:r>
      <w:r w:rsidR="00EC1132" w:rsidRPr="00AE61EE">
        <w:rPr>
          <w:vertAlign w:val="subscript"/>
        </w:rPr>
        <w:t>4</w:t>
      </w:r>
      <w:r w:rsidR="00EC1132" w:rsidRPr="00AE61EE">
        <w:t>)</w:t>
      </w:r>
      <w:r w:rsidR="00EC1132" w:rsidRPr="00AE61EE">
        <w:rPr>
          <w:vertAlign w:val="subscript"/>
        </w:rPr>
        <w:t>2</w:t>
      </w:r>
      <w:r w:rsidR="00EC1132" w:rsidRPr="00AE61EE">
        <w:t>]</w:t>
      </w:r>
      <w:r w:rsidR="00EC1132">
        <w:t xml:space="preserve"> prikazan je na Slici 6</w:t>
      </w:r>
      <w:r w:rsidR="00245EDF">
        <w:t>, spektar</w:t>
      </w:r>
      <w:r w:rsidR="00EC1132">
        <w:t xml:space="preserve"> </w:t>
      </w:r>
      <w:r w:rsidR="00245EDF" w:rsidRPr="00AE61EE">
        <w:t>[Cu(</w:t>
      </w:r>
      <w:r w:rsidR="00245EDF">
        <w:t>phen</w:t>
      </w:r>
      <w:r w:rsidR="00245EDF" w:rsidRPr="00AE61EE">
        <w:t>)</w:t>
      </w:r>
      <w:r w:rsidR="00245EDF" w:rsidRPr="00AE61EE">
        <w:rPr>
          <w:vertAlign w:val="subscript"/>
        </w:rPr>
        <w:t>2</w:t>
      </w:r>
      <w:r w:rsidR="00245EDF">
        <w:t>Cl]</w:t>
      </w:r>
      <w:r w:rsidR="00245EDF" w:rsidRPr="00AE61EE">
        <w:t>ClO</w:t>
      </w:r>
      <w:r w:rsidR="00245EDF" w:rsidRPr="00AE61EE">
        <w:rPr>
          <w:vertAlign w:val="subscript"/>
        </w:rPr>
        <w:t>4</w:t>
      </w:r>
      <w:r w:rsidR="00245EDF">
        <w:t xml:space="preserve"> prikazan je na Slici 7 te [</w:t>
      </w:r>
      <w:r w:rsidR="00245EDF" w:rsidRPr="00AE61EE">
        <w:t>Cu(phen)</w:t>
      </w:r>
      <w:r w:rsidR="00245EDF" w:rsidRPr="00AE61EE">
        <w:rPr>
          <w:vertAlign w:val="subscript"/>
        </w:rPr>
        <w:t>2</w:t>
      </w:r>
      <w:r w:rsidR="00245EDF" w:rsidRPr="00AE61EE">
        <w:t>(H</w:t>
      </w:r>
      <w:r w:rsidR="00245EDF" w:rsidRPr="00AE61EE">
        <w:rPr>
          <w:vertAlign w:val="subscript"/>
        </w:rPr>
        <w:t>2</w:t>
      </w:r>
      <w:r w:rsidR="00245EDF" w:rsidRPr="00AE61EE">
        <w:t>O)](NO</w:t>
      </w:r>
      <w:r w:rsidR="00245EDF" w:rsidRPr="00AE61EE">
        <w:rPr>
          <w:vertAlign w:val="subscript"/>
        </w:rPr>
        <w:t>3</w:t>
      </w:r>
      <w:r w:rsidR="00245EDF" w:rsidRPr="00AE61EE">
        <w:t>)</w:t>
      </w:r>
      <w:r w:rsidR="00245EDF" w:rsidRPr="00AE61EE">
        <w:rPr>
          <w:vertAlign w:val="subscript"/>
        </w:rPr>
        <w:t>2</w:t>
      </w:r>
      <w:r w:rsidR="00245EDF">
        <w:rPr>
          <w:vertAlign w:val="subscript"/>
        </w:rPr>
        <w:t xml:space="preserve"> </w:t>
      </w:r>
      <w:r w:rsidR="00245EDF">
        <w:t xml:space="preserve">na slici 8. </w:t>
      </w:r>
      <w:r w:rsidR="00245EDF" w:rsidRPr="00245EDF">
        <w:t>Parametri dob</w:t>
      </w:r>
      <w:r w:rsidR="00245EDF">
        <w:t xml:space="preserve">iveni iz spektara (vrijednosti </w:t>
      </w:r>
      <w:r w:rsidR="00245EDF" w:rsidRPr="00245EDF">
        <w:rPr>
          <w:i/>
        </w:rPr>
        <w:t>g</w:t>
      </w:r>
      <w:r w:rsidR="00245EDF" w:rsidRPr="00245EDF">
        <w:t>-tenzora) sumirani su u Tablici 1.</w:t>
      </w:r>
      <w:r w:rsidR="009F7837">
        <w:t xml:space="preserve"> </w:t>
      </w:r>
      <w:r w:rsidR="009F7837" w:rsidRPr="009F7837">
        <w:t>Korištenje referentnog</w:t>
      </w:r>
      <w:r w:rsidR="009F7837">
        <w:t xml:space="preserve"> standarda poput DPPH</w:t>
      </w:r>
      <w:r w:rsidR="00FB01A2">
        <w:t xml:space="preserve"> (</w:t>
      </w:r>
      <w:r w:rsidR="00FB01A2" w:rsidRPr="00FB01A2">
        <w:t>2,2-diphenyl-1-picrylhydrazyl)</w:t>
      </w:r>
      <w:r w:rsidR="00FB01A2">
        <w:t xml:space="preserve">, </w:t>
      </w:r>
      <w:r w:rsidR="009F7837" w:rsidRPr="009F7837">
        <w:rPr>
          <w:i/>
        </w:rPr>
        <w:t>g</w:t>
      </w:r>
      <w:r w:rsidR="009F7837">
        <w:t xml:space="preserve"> = 2.0036</w:t>
      </w:r>
      <w:r w:rsidR="00FB01A2">
        <w:t>,</w:t>
      </w:r>
      <w:r w:rsidR="009F7837" w:rsidRPr="009F7837">
        <w:t xml:space="preserve"> osiguralo je </w:t>
      </w:r>
      <w:r w:rsidR="009F7837" w:rsidRPr="009F7837">
        <w:lastRenderedPageBreak/>
        <w:t>preciznost mjerenja, čime</w:t>
      </w:r>
      <w:r w:rsidR="009F7837">
        <w:t xml:space="preserve"> je potvrđeno da su odstupanja </w:t>
      </w:r>
      <w:r w:rsidR="009F7837" w:rsidRPr="009F7837">
        <w:rPr>
          <w:i/>
        </w:rPr>
        <w:t>g</w:t>
      </w:r>
      <w:r w:rsidR="009F7837" w:rsidRPr="009F7837">
        <w:t xml:space="preserve">-vrijednosti od </w:t>
      </w:r>
      <w:r w:rsidR="009F7837">
        <w:t xml:space="preserve">vrijednosti </w:t>
      </w:r>
      <w:r w:rsidR="009F7837" w:rsidRPr="009F7837">
        <w:t>slobodnog elektrona isključivo rezultat spin-orbitalnog sp</w:t>
      </w:r>
      <w:r w:rsidR="009F7837">
        <w:t>rezanja uzrokovano geometrijom.</w:t>
      </w:r>
    </w:p>
    <w:p w14:paraId="7F1DC968" w14:textId="77777777" w:rsidR="004625D0" w:rsidRDefault="00574647" w:rsidP="009519BA">
      <w:pPr>
        <w:jc w:val="center"/>
        <w:rPr>
          <w:rFonts w:ascii="Times New Roman" w:hAnsi="Times New Roman" w:cs="Times New Roman"/>
          <w:sz w:val="24"/>
        </w:rPr>
      </w:pPr>
      <w:r w:rsidRPr="00574647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11A031E0" wp14:editId="7900D2ED">
            <wp:extent cx="3172110" cy="216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211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486AE" w14:textId="59AD1482" w:rsidR="00167E9D" w:rsidRDefault="00574647" w:rsidP="001F666E">
      <w:pPr>
        <w:pStyle w:val="imagetitle"/>
      </w:pPr>
      <w:r w:rsidRPr="001F666E">
        <w:rPr>
          <w:b/>
          <w:bCs/>
        </w:rPr>
        <w:t>Slika 6.</w:t>
      </w:r>
      <w:r w:rsidRPr="004625D0">
        <w:t xml:space="preserve"> </w:t>
      </w:r>
      <w:r w:rsidR="005E45F0">
        <w:t xml:space="preserve">EPR </w:t>
      </w:r>
      <w:r w:rsidR="00245EDF">
        <w:t>spektar</w:t>
      </w:r>
      <w:r w:rsidR="005E45F0">
        <w:t xml:space="preserve"> </w:t>
      </w:r>
      <w:r w:rsidR="00B152EA">
        <w:t>[</w:t>
      </w:r>
      <w:r w:rsidR="00AE61EE" w:rsidRPr="00AE61EE">
        <w:t>Cu(en)</w:t>
      </w:r>
      <w:r w:rsidR="00AE61EE" w:rsidRPr="00AE61EE">
        <w:rPr>
          <w:vertAlign w:val="subscript"/>
        </w:rPr>
        <w:t>2</w:t>
      </w:r>
      <w:r w:rsidR="00AE61EE" w:rsidRPr="00AE61EE">
        <w:t>(ClO</w:t>
      </w:r>
      <w:r w:rsidR="00AE61EE" w:rsidRPr="00AE61EE">
        <w:rPr>
          <w:vertAlign w:val="subscript"/>
        </w:rPr>
        <w:t>4</w:t>
      </w:r>
      <w:r w:rsidR="00AE61EE" w:rsidRPr="00AE61EE">
        <w:t>)</w:t>
      </w:r>
      <w:r w:rsidR="00AE61EE" w:rsidRPr="00AE61EE">
        <w:rPr>
          <w:vertAlign w:val="subscript"/>
        </w:rPr>
        <w:t>2</w:t>
      </w:r>
      <w:r w:rsidR="00B152EA">
        <w:t>]</w:t>
      </w:r>
      <w:r w:rsidR="0089798E">
        <w:t>, p</w:t>
      </w:r>
      <w:r w:rsidRPr="004625D0">
        <w:t xml:space="preserve">reuzeto iz </w:t>
      </w:r>
      <w:r>
        <w:t xml:space="preserve">izvora </w:t>
      </w:r>
      <w:r w:rsidR="00A06CF8">
        <w:t>2</w:t>
      </w:r>
      <w:r w:rsidR="0089798E">
        <w:t>.</w:t>
      </w:r>
    </w:p>
    <w:p w14:paraId="726F8A43" w14:textId="77777777" w:rsidR="00245EDF" w:rsidRPr="004625D0" w:rsidRDefault="00245EDF" w:rsidP="00FF6067">
      <w:pPr>
        <w:pStyle w:val="Style1"/>
      </w:pPr>
      <w:r>
        <w:t>Spektar</w:t>
      </w:r>
      <w:r w:rsidRPr="00245EDF">
        <w:t xml:space="preserve"> kompleksa</w:t>
      </w:r>
      <w:r>
        <w:t xml:space="preserve"> </w:t>
      </w:r>
      <w:r w:rsidRPr="00AE61EE">
        <w:t>[Cu(en)</w:t>
      </w:r>
      <w:r w:rsidRPr="00AE61EE">
        <w:rPr>
          <w:vertAlign w:val="subscript"/>
        </w:rPr>
        <w:t>2</w:t>
      </w:r>
      <w:r w:rsidRPr="00AE61EE">
        <w:t>(ClO</w:t>
      </w:r>
      <w:r w:rsidRPr="00AE61EE">
        <w:rPr>
          <w:vertAlign w:val="subscript"/>
        </w:rPr>
        <w:t>4</w:t>
      </w:r>
      <w:r w:rsidRPr="00AE61EE">
        <w:t>)</w:t>
      </w:r>
      <w:r w:rsidRPr="00AE61EE">
        <w:rPr>
          <w:vertAlign w:val="subscript"/>
        </w:rPr>
        <w:t>2</w:t>
      </w:r>
      <w:r w:rsidRPr="00AE61EE">
        <w:t>]</w:t>
      </w:r>
      <w:r w:rsidRPr="00245EDF">
        <w:t xml:space="preserve"> je tipičan aksijalni spektar. Iz Tablice 1</w:t>
      </w:r>
      <w:r>
        <w:t xml:space="preserve"> vidimo da su dvije komponente </w:t>
      </w:r>
      <w:r w:rsidRPr="00245EDF">
        <w:rPr>
          <w:i/>
        </w:rPr>
        <w:t>g</w:t>
      </w:r>
      <w:r>
        <w:t>-tenzora identične (</w:t>
      </w:r>
      <w:r w:rsidRPr="00167E9D">
        <w:rPr>
          <w:i/>
        </w:rPr>
        <w:t>g</w:t>
      </w:r>
      <w:r w:rsidRPr="00167E9D">
        <w:rPr>
          <w:vertAlign w:val="subscript"/>
        </w:rPr>
        <w:t>x</w:t>
      </w:r>
      <w:r>
        <w:t xml:space="preserve"> = </w:t>
      </w:r>
      <w:r w:rsidRPr="00167E9D">
        <w:rPr>
          <w:i/>
        </w:rPr>
        <w:t>g</w:t>
      </w:r>
      <w:r w:rsidRPr="00167E9D">
        <w:rPr>
          <w:vertAlign w:val="subscript"/>
        </w:rPr>
        <w:t>y</w:t>
      </w:r>
      <w:r>
        <w:t xml:space="preserve"> = 2.049</w:t>
      </w:r>
      <w:r w:rsidRPr="00245EDF">
        <w:t>), dok je t</w:t>
      </w:r>
      <w:r>
        <w:t>reća komponenta značajno veća (</w:t>
      </w:r>
      <w:r w:rsidRPr="004746F5">
        <w:rPr>
          <w:i/>
        </w:rPr>
        <w:t>g</w:t>
      </w:r>
      <w:r w:rsidRPr="004746F5">
        <w:rPr>
          <w:vertAlign w:val="subscript"/>
        </w:rPr>
        <w:t>z</w:t>
      </w:r>
      <w:r>
        <w:t xml:space="preserve"> = 2.198</w:t>
      </w:r>
      <w:r w:rsidRPr="00245EDF">
        <w:t>).</w:t>
      </w:r>
      <w:r>
        <w:t xml:space="preserve"> Budući da vrijedi odnos </w:t>
      </w:r>
      <w:r w:rsidRPr="00A3258C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∥</w:t>
      </w:r>
      <w:r>
        <w:t xml:space="preserve"> &gt;</w:t>
      </w:r>
      <w:r w:rsidRPr="00761D21">
        <w:t xml:space="preserve"> </w:t>
      </w:r>
      <w:r w:rsidRPr="00761D21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⊥</w:t>
      </w:r>
      <w:r>
        <w:t xml:space="preserve"> &gt; 2.0023</w:t>
      </w:r>
      <w:r w:rsidRPr="00245EDF">
        <w:t>, zaključujemo da je nespar</w:t>
      </w:r>
      <w:r>
        <w:t xml:space="preserve">eni elektron smješten u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  <m:r>
              <m:rPr>
                <m:nor/>
              </m:rPr>
              <w:rPr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Pr="00245EDF">
        <w:t xml:space="preserve"> orbitali.</w:t>
      </w:r>
      <w:r>
        <w:t xml:space="preserve"> </w:t>
      </w:r>
      <w:r w:rsidRPr="00245EDF">
        <w:t>Ovakav profil odgovara izduženom oktaedru. Četiri dušikova atoma iz etilendiamina čine kvadratnu ravninu, dok perkloratni anioni slabo koordiniraju u aksijalnim položajima, uzrokujući Jahn-Tellerovu distorziju (izduženje</w:t>
      </w:r>
      <w:r w:rsidR="00F466DE">
        <w:t xml:space="preserve"> oktaedra</w:t>
      </w:r>
      <w:r w:rsidRPr="00245EDF">
        <w:t>).</w:t>
      </w:r>
    </w:p>
    <w:p w14:paraId="3C18305D" w14:textId="77777777" w:rsidR="00574647" w:rsidRDefault="00574647" w:rsidP="009519BA">
      <w:pPr>
        <w:jc w:val="center"/>
        <w:rPr>
          <w:rFonts w:ascii="Times New Roman" w:hAnsi="Times New Roman" w:cs="Times New Roman"/>
          <w:sz w:val="24"/>
        </w:rPr>
      </w:pPr>
      <w:r w:rsidRPr="00574647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7EB7D9F4" wp14:editId="7630BD7C">
            <wp:extent cx="2993143" cy="216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3143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43BBA" w14:textId="41D04991" w:rsidR="004625D0" w:rsidRDefault="004625D0" w:rsidP="001F666E">
      <w:pPr>
        <w:pStyle w:val="imagetitle"/>
      </w:pPr>
      <w:r w:rsidRPr="001F666E">
        <w:rPr>
          <w:b/>
          <w:bCs/>
        </w:rPr>
        <w:t>Slika 7.</w:t>
      </w:r>
      <w:r w:rsidRPr="004625D0">
        <w:t xml:space="preserve"> </w:t>
      </w:r>
      <w:r w:rsidR="005E45F0">
        <w:t xml:space="preserve">EPR </w:t>
      </w:r>
      <w:r w:rsidR="00245EDF">
        <w:t>spektar</w:t>
      </w:r>
      <w:r w:rsidR="005E45F0">
        <w:t xml:space="preserve"> [</w:t>
      </w:r>
      <w:r w:rsidR="00AE61EE" w:rsidRPr="00AE61EE">
        <w:t>Cu(phen)</w:t>
      </w:r>
      <w:r w:rsidR="00AE61EE" w:rsidRPr="00AE61EE">
        <w:rPr>
          <w:vertAlign w:val="subscript"/>
        </w:rPr>
        <w:t>2</w:t>
      </w:r>
      <w:r w:rsidR="00AE61EE" w:rsidRPr="00AE61EE">
        <w:t>Cl]ClO</w:t>
      </w:r>
      <w:r w:rsidR="00AE61EE" w:rsidRPr="00AE61EE">
        <w:rPr>
          <w:vertAlign w:val="subscript"/>
        </w:rPr>
        <w:t>4</w:t>
      </w:r>
      <w:r w:rsidR="0089798E">
        <w:t>, p</w:t>
      </w:r>
      <w:r w:rsidRPr="004625D0">
        <w:t xml:space="preserve">reuzeto iz </w:t>
      </w:r>
      <w:r>
        <w:t xml:space="preserve">izvora </w:t>
      </w:r>
      <w:r w:rsidR="00AE61EE">
        <w:t>2</w:t>
      </w:r>
      <w:r w:rsidR="0089798E">
        <w:t>.</w:t>
      </w:r>
    </w:p>
    <w:p w14:paraId="4873FD2D" w14:textId="77777777" w:rsidR="00F466DE" w:rsidRDefault="00F466DE" w:rsidP="00FF6067">
      <w:pPr>
        <w:pStyle w:val="Style1"/>
      </w:pPr>
      <w:r>
        <w:t>Z</w:t>
      </w:r>
      <w:r w:rsidRPr="00F466DE">
        <w:t>a razliku od prethodnog, spektar</w:t>
      </w:r>
      <w:r>
        <w:t xml:space="preserve"> kompleksa [</w:t>
      </w:r>
      <w:r w:rsidRPr="00AE61EE">
        <w:t>Cu(phen)</w:t>
      </w:r>
      <w:r w:rsidRPr="00AE61EE">
        <w:rPr>
          <w:vertAlign w:val="subscript"/>
        </w:rPr>
        <w:t>2</w:t>
      </w:r>
      <w:r w:rsidRPr="00AE61EE">
        <w:t>Cl]ClO</w:t>
      </w:r>
      <w:r w:rsidRPr="00AE61EE">
        <w:rPr>
          <w:vertAlign w:val="subscript"/>
        </w:rPr>
        <w:t>4</w:t>
      </w:r>
      <w:r w:rsidRPr="00F466DE">
        <w:t xml:space="preserve"> </w:t>
      </w:r>
      <w:r>
        <w:t>prema podacima iz Tablice 1</w:t>
      </w:r>
      <w:r w:rsidRPr="00F466DE">
        <w:t xml:space="preserve"> pokazuje inverzni aksijalni karakter. Ovdje je </w:t>
      </w:r>
      <w:r w:rsidRPr="00A3258C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∥</w:t>
      </w:r>
      <w:r>
        <w:t xml:space="preserve"> &lt;</w:t>
      </w:r>
      <w:r w:rsidRPr="00761D21">
        <w:t xml:space="preserve"> </w:t>
      </w:r>
      <w:r w:rsidRPr="00761D21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⊥</w:t>
      </w:r>
      <w:r>
        <w:t xml:space="preserve">, pri čemu je </w:t>
      </w:r>
      <w:r w:rsidRPr="00A3258C">
        <w:rPr>
          <w:i/>
        </w:rPr>
        <w:t>g</w:t>
      </w:r>
      <w:r w:rsidRPr="00761D21">
        <w:rPr>
          <w:rFonts w:ascii="Cambria Math" w:hAnsi="Cambria Math" w:cs="Cambria Math"/>
          <w:vertAlign w:val="subscript"/>
        </w:rPr>
        <w:t>∥</w:t>
      </w:r>
      <w:r>
        <w:t xml:space="preserve"> </w:t>
      </w:r>
      <w:r w:rsidRPr="00F466DE">
        <w:t xml:space="preserve">(duž glavne osi simetrije) vrlo blizu vrijednosti slobodnog elektrona. To je jasan indikator da se nespareni elektron nalazi u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z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="00167E9D" w:rsidRPr="006D440B">
        <w:rPr>
          <w:rFonts w:eastAsia="Times New Roman"/>
          <w:szCs w:val="24"/>
          <w:lang w:eastAsia="hr-HR"/>
        </w:rPr>
        <w:t xml:space="preserve"> </w:t>
      </w:r>
      <w:r w:rsidRPr="00F466DE">
        <w:t>orbitali. Ovak</w:t>
      </w:r>
      <w:r w:rsidR="00167E9D">
        <w:t>vi rezultati</w:t>
      </w:r>
      <w:r w:rsidRPr="00F466DE">
        <w:t xml:space="preserve"> potvrđuj</w:t>
      </w:r>
      <w:r w:rsidR="00167E9D">
        <w:t>u</w:t>
      </w:r>
      <w:r w:rsidRPr="00F466DE">
        <w:t xml:space="preserve"> pentakoordinaciju u obliku trigonske bipiramide. U </w:t>
      </w:r>
      <w:r w:rsidRPr="00F466DE">
        <w:lastRenderedPageBreak/>
        <w:t xml:space="preserve">ovoj geometriji, gustoća </w:t>
      </w:r>
      <w:r w:rsidR="00167E9D">
        <w:t>elektrona je koncentrirana duž z</w:t>
      </w:r>
      <w:r w:rsidRPr="00F466DE">
        <w:t>-osi, što rezultira specifičnim poretkom energetskih razina orbitala.</w:t>
      </w:r>
    </w:p>
    <w:p w14:paraId="24C48070" w14:textId="77777777" w:rsidR="00574647" w:rsidRDefault="00574647" w:rsidP="00574647">
      <w:pPr>
        <w:jc w:val="center"/>
        <w:rPr>
          <w:rFonts w:ascii="Times New Roman" w:hAnsi="Times New Roman" w:cs="Times New Roman"/>
          <w:sz w:val="24"/>
        </w:rPr>
      </w:pPr>
      <w:r w:rsidRPr="00574647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0AECC29F" wp14:editId="6D0E3683">
            <wp:extent cx="2897486" cy="216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748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02168" w14:textId="0B44E3A9" w:rsidR="00574647" w:rsidRDefault="00574647" w:rsidP="001F666E">
      <w:pPr>
        <w:pStyle w:val="imagetitle"/>
      </w:pPr>
      <w:r w:rsidRPr="001F666E">
        <w:rPr>
          <w:b/>
          <w:bCs/>
        </w:rPr>
        <w:t>Slika 8.</w:t>
      </w:r>
      <w:r w:rsidRPr="004625D0">
        <w:t xml:space="preserve"> </w:t>
      </w:r>
      <w:r w:rsidR="005E45F0">
        <w:t>EPR spe</w:t>
      </w:r>
      <w:r w:rsidR="00245EDF">
        <w:t xml:space="preserve">ktar </w:t>
      </w:r>
      <w:r w:rsidR="00B152EA">
        <w:t>[</w:t>
      </w:r>
      <w:r w:rsidR="00AE61EE" w:rsidRPr="00AE61EE">
        <w:t>Cu(phen)</w:t>
      </w:r>
      <w:r w:rsidR="00AE61EE" w:rsidRPr="00AE61EE">
        <w:rPr>
          <w:vertAlign w:val="subscript"/>
        </w:rPr>
        <w:t>2</w:t>
      </w:r>
      <w:r w:rsidR="00AE61EE" w:rsidRPr="00AE61EE">
        <w:t>(H</w:t>
      </w:r>
      <w:r w:rsidR="00AE61EE" w:rsidRPr="00AE61EE">
        <w:rPr>
          <w:vertAlign w:val="subscript"/>
        </w:rPr>
        <w:t>2</w:t>
      </w:r>
      <w:r w:rsidR="00AE61EE" w:rsidRPr="00AE61EE">
        <w:t>O)](NO</w:t>
      </w:r>
      <w:r w:rsidR="00AE61EE" w:rsidRPr="00AE61EE">
        <w:rPr>
          <w:vertAlign w:val="subscript"/>
        </w:rPr>
        <w:t>3</w:t>
      </w:r>
      <w:r w:rsidR="00AE61EE" w:rsidRPr="00AE61EE">
        <w:t>)</w:t>
      </w:r>
      <w:r w:rsidR="00AE61EE" w:rsidRPr="00AE61EE">
        <w:rPr>
          <w:vertAlign w:val="subscript"/>
        </w:rPr>
        <w:t>2</w:t>
      </w:r>
      <w:r w:rsidR="0089798E">
        <w:t>, p</w:t>
      </w:r>
      <w:r w:rsidRPr="004625D0">
        <w:t xml:space="preserve">reuzeto iz </w:t>
      </w:r>
      <w:r>
        <w:t xml:space="preserve">izvora </w:t>
      </w:r>
      <w:r w:rsidR="00AE61EE">
        <w:t>2</w:t>
      </w:r>
      <w:r w:rsidR="0089798E">
        <w:t>.</w:t>
      </w:r>
    </w:p>
    <w:p w14:paraId="5C00C688" w14:textId="09055BB8" w:rsidR="0089798E" w:rsidRDefault="00167E9D" w:rsidP="00FF6067">
      <w:pPr>
        <w:pStyle w:val="Style1"/>
      </w:pPr>
      <w:r>
        <w:t>Spektar kompleksa</w:t>
      </w:r>
      <w:r w:rsidRPr="00167E9D">
        <w:t xml:space="preserve"> </w:t>
      </w:r>
      <w:r>
        <w:t>[</w:t>
      </w:r>
      <w:r w:rsidRPr="00AE61EE">
        <w:t>Cu(phen)</w:t>
      </w:r>
      <w:r w:rsidRPr="00AE61EE">
        <w:rPr>
          <w:vertAlign w:val="subscript"/>
        </w:rPr>
        <w:t>2</w:t>
      </w:r>
      <w:r w:rsidRPr="00AE61EE">
        <w:t>(H</w:t>
      </w:r>
      <w:r w:rsidRPr="00AE61EE">
        <w:rPr>
          <w:vertAlign w:val="subscript"/>
        </w:rPr>
        <w:t>2</w:t>
      </w:r>
      <w:r w:rsidRPr="00AE61EE">
        <w:t>O)](NO</w:t>
      </w:r>
      <w:r w:rsidRPr="00AE61EE">
        <w:rPr>
          <w:vertAlign w:val="subscript"/>
        </w:rPr>
        <w:t>3</w:t>
      </w:r>
      <w:r w:rsidRPr="00AE61EE">
        <w:t>)</w:t>
      </w:r>
      <w:r w:rsidRPr="00AE61EE">
        <w:rPr>
          <w:vertAlign w:val="subscript"/>
        </w:rPr>
        <w:t>2</w:t>
      </w:r>
      <w:r w:rsidRPr="00167E9D">
        <w:t xml:space="preserve"> pokazuje t</w:t>
      </w:r>
      <w:r>
        <w:t>ri jasno razlučive komponente (</w:t>
      </w:r>
      <w:r w:rsidRPr="00167E9D">
        <w:rPr>
          <w:i/>
        </w:rPr>
        <w:t>g</w:t>
      </w:r>
      <w:r w:rsidRPr="00167E9D">
        <w:rPr>
          <w:vertAlign w:val="subscript"/>
        </w:rPr>
        <w:t>x</w:t>
      </w:r>
      <w:r w:rsidRPr="00167E9D">
        <w:t xml:space="preserve"> </w:t>
      </w:r>
      <w:r w:rsidRPr="00761D21">
        <w:t>≠</w:t>
      </w:r>
      <w:r>
        <w:t xml:space="preserve"> </w:t>
      </w:r>
      <w:r w:rsidRPr="00167E9D">
        <w:rPr>
          <w:i/>
        </w:rPr>
        <w:t>g</w:t>
      </w:r>
      <w:r w:rsidRPr="00167E9D">
        <w:rPr>
          <w:vertAlign w:val="subscript"/>
        </w:rPr>
        <w:t>y</w:t>
      </w:r>
      <w:r w:rsidRPr="00167E9D">
        <w:t xml:space="preserve"> </w:t>
      </w:r>
      <w:r w:rsidRPr="00761D21">
        <w:t>≠</w:t>
      </w:r>
      <w:r>
        <w:t xml:space="preserve"> </w:t>
      </w:r>
      <w:r w:rsidRPr="00167E9D">
        <w:rPr>
          <w:i/>
        </w:rPr>
        <w:t>g</w:t>
      </w:r>
      <w:r w:rsidRPr="00167E9D">
        <w:rPr>
          <w:vertAlign w:val="subscript"/>
        </w:rPr>
        <w:t>z</w:t>
      </w:r>
      <w:r w:rsidRPr="00167E9D">
        <w:t>), što nazivamo rombskom simetrijom.</w:t>
      </w:r>
      <w:r w:rsidR="0027102B">
        <w:t xml:space="preserve"> </w:t>
      </w:r>
      <w:r>
        <w:t>Vrijednosti iz tablice (</w:t>
      </w:r>
      <w:r w:rsidRPr="00167E9D">
        <w:rPr>
          <w:i/>
        </w:rPr>
        <w:t>g</w:t>
      </w:r>
      <w:r w:rsidRPr="00167E9D">
        <w:rPr>
          <w:vertAlign w:val="subscript"/>
        </w:rPr>
        <w:t>x</w:t>
      </w:r>
      <w:r>
        <w:t xml:space="preserve"> </w:t>
      </w:r>
      <w:r w:rsidRPr="00167E9D">
        <w:t>=</w:t>
      </w:r>
      <w:r>
        <w:t xml:space="preserve"> </w:t>
      </w:r>
      <w:r w:rsidRPr="00167E9D">
        <w:t xml:space="preserve">2.214, </w:t>
      </w:r>
      <w:r w:rsidRPr="00167E9D">
        <w:rPr>
          <w:i/>
        </w:rPr>
        <w:t>g</w:t>
      </w:r>
      <w:r w:rsidRPr="00167E9D">
        <w:rPr>
          <w:vertAlign w:val="subscript"/>
        </w:rPr>
        <w:t>y</w:t>
      </w:r>
      <w:r>
        <w:t xml:space="preserve"> </w:t>
      </w:r>
      <w:r w:rsidRPr="00167E9D">
        <w:t>=</w:t>
      </w:r>
      <w:r>
        <w:t xml:space="preserve"> </w:t>
      </w:r>
      <w:r w:rsidRPr="00167E9D">
        <w:t xml:space="preserve">2.148, </w:t>
      </w:r>
      <w:r w:rsidRPr="00167E9D">
        <w:rPr>
          <w:i/>
        </w:rPr>
        <w:t>g</w:t>
      </w:r>
      <w:r w:rsidRPr="00167E9D">
        <w:rPr>
          <w:vertAlign w:val="subscript"/>
        </w:rPr>
        <w:t>z</w:t>
      </w:r>
      <w:r>
        <w:t xml:space="preserve"> </w:t>
      </w:r>
      <w:r w:rsidRPr="00167E9D">
        <w:t>=</w:t>
      </w:r>
      <w:r>
        <w:t xml:space="preserve"> 2.007</w:t>
      </w:r>
      <w:r w:rsidRPr="00167E9D">
        <w:t>) ukazuju na miješanje</w:t>
      </w:r>
      <w:r w:rsidR="00453A2E">
        <w:t xml:space="preserve"> dviju</w:t>
      </w:r>
      <w:r w:rsidRPr="00167E9D">
        <w:t xml:space="preserve"> orbitala. Osnovno stanje više nije čista orbitala, već linearna kombinacija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z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Pr="00167E9D">
        <w:t xml:space="preserve"> 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  <m:r>
              <m:rPr>
                <m:nor/>
              </m:rPr>
              <w:rPr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Pr="00167E9D">
        <w:t>.</w:t>
      </w:r>
      <w:r>
        <w:t xml:space="preserve"> Parametar </w:t>
      </w:r>
      <w:r w:rsidRPr="00167E9D">
        <w:rPr>
          <w:i/>
        </w:rPr>
        <w:t>R</w:t>
      </w:r>
      <w:r>
        <w:t xml:space="preserve"> izračunat </w:t>
      </w:r>
      <w:r w:rsidR="00453A2E">
        <w:t xml:space="preserve">prema formuli (6) </w:t>
      </w:r>
      <w:r w:rsidR="00453A2E" w:rsidRPr="00167E9D">
        <w:t>za ovaj spoj iznosi 2.14.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0"/>
        <w:gridCol w:w="7953"/>
        <w:gridCol w:w="559"/>
      </w:tblGrid>
      <w:tr w:rsidR="0089798E" w14:paraId="4568B9CB" w14:textId="77777777" w:rsidTr="00195F3A"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24CD2640" w14:textId="77777777" w:rsidR="0089798E" w:rsidRDefault="0089798E" w:rsidP="00195F3A">
            <w:pPr>
              <w:pStyle w:val="Style1"/>
            </w:pPr>
          </w:p>
        </w:tc>
        <w:tc>
          <w:tcPr>
            <w:tcW w:w="4383" w:type="pct"/>
            <w:tcBorders>
              <w:top w:val="nil"/>
              <w:left w:val="nil"/>
              <w:bottom w:val="nil"/>
              <w:right w:val="nil"/>
            </w:tcBorders>
          </w:tcPr>
          <w:p w14:paraId="6D412CBB" w14:textId="37190055" w:rsidR="0089798E" w:rsidRDefault="0089798E" w:rsidP="00195F3A">
            <w:pPr>
              <w:pStyle w:val="Style1"/>
              <w:jc w:val="center"/>
            </w:pPr>
            <w:r w:rsidRPr="00167E9D">
              <w:rPr>
                <w:i/>
              </w:rPr>
              <w:t>R</w:t>
            </w:r>
            <w:r>
              <w:t xml:space="preserve"> = (</w:t>
            </w:r>
            <w:r w:rsidRPr="00167E9D">
              <w:rPr>
                <w:i/>
              </w:rPr>
              <w:t>g</w:t>
            </w:r>
            <w:r w:rsidRPr="00167E9D">
              <w:rPr>
                <w:vertAlign w:val="subscript"/>
              </w:rPr>
              <w:t>y</w:t>
            </w:r>
            <w:r w:rsidRPr="00167E9D">
              <w:t xml:space="preserve"> </w:t>
            </w:r>
            <w:r>
              <w:t xml:space="preserve">– </w:t>
            </w:r>
            <w:r w:rsidRPr="00167E9D">
              <w:rPr>
                <w:i/>
              </w:rPr>
              <w:t>g</w:t>
            </w:r>
            <w:r w:rsidRPr="00167E9D">
              <w:rPr>
                <w:vertAlign w:val="subscript"/>
              </w:rPr>
              <w:t>z</w:t>
            </w:r>
            <w:r w:rsidRPr="00167E9D">
              <w:t>) / (</w:t>
            </w:r>
            <w:r w:rsidRPr="00167E9D">
              <w:rPr>
                <w:i/>
              </w:rPr>
              <w:t>g</w:t>
            </w:r>
            <w:r w:rsidRPr="00167E9D">
              <w:rPr>
                <w:vertAlign w:val="subscript"/>
              </w:rPr>
              <w:t>x</w:t>
            </w:r>
            <w:r w:rsidRPr="00167E9D">
              <w:t xml:space="preserve"> </w:t>
            </w:r>
            <w:r>
              <w:t>–</w:t>
            </w:r>
            <w:r w:rsidRPr="00167E9D">
              <w:t xml:space="preserve"> </w:t>
            </w:r>
            <w:r w:rsidRPr="00167E9D">
              <w:rPr>
                <w:i/>
              </w:rPr>
              <w:t>g</w:t>
            </w:r>
            <w:r w:rsidRPr="00167E9D">
              <w:rPr>
                <w:vertAlign w:val="subscript"/>
              </w:rPr>
              <w:t>y</w:t>
            </w:r>
            <w:r>
              <w:t>)</w:t>
            </w:r>
            <w:r w:rsidR="003642AE">
              <w:t xml:space="preserve"> </w:t>
            </w:r>
            <w:r w:rsidR="003642AE" w:rsidRPr="003642AE">
              <w:t>≈ 2.14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785DE6B6" w14:textId="5BE0F07B" w:rsidR="0089798E" w:rsidRDefault="0089798E" w:rsidP="00195F3A">
            <w:pPr>
              <w:pStyle w:val="Style1"/>
            </w:pPr>
            <w:r>
              <w:t>(6)</w:t>
            </w:r>
          </w:p>
        </w:tc>
      </w:tr>
    </w:tbl>
    <w:p w14:paraId="3073AD32" w14:textId="77777777" w:rsidR="00167E9D" w:rsidRDefault="00453A2E" w:rsidP="00FF6067">
      <w:pPr>
        <w:pStyle w:val="Style1"/>
      </w:pPr>
      <w:r>
        <w:t xml:space="preserve">Budući da je </w:t>
      </w:r>
      <w:r w:rsidRPr="00453A2E">
        <w:rPr>
          <w:i/>
        </w:rPr>
        <w:t>R</w:t>
      </w:r>
      <w:r>
        <w:t xml:space="preserve"> &gt; 1</w:t>
      </w:r>
      <w:r w:rsidR="00167E9D" w:rsidRPr="00167E9D">
        <w:t xml:space="preserve">, dominantni doprinos osnovnom stanju dolazi iz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nor/>
              </m:rPr>
              <w:rPr>
                <w:i/>
                <w:szCs w:val="24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szCs w:val="24"/>
                  </w:rPr>
                  <m:t>z</m:t>
                </m:r>
              </m:e>
              <m:sup>
                <m:r>
                  <m:rPr>
                    <m:nor/>
                  </m:rPr>
                  <w:rPr>
                    <w:szCs w:val="24"/>
                  </w:rPr>
                  <m:t>2</m:t>
                </m:r>
              </m:sup>
            </m:sSup>
          </m:sub>
        </m:sSub>
      </m:oMath>
      <w:r w:rsidR="00167E9D" w:rsidRPr="00167E9D">
        <w:t xml:space="preserve"> orbitale. To znači da je geometrija kompleksa intermedijarna, ali</w:t>
      </w:r>
      <w:bookmarkStart w:id="5" w:name="_GoBack"/>
      <w:bookmarkEnd w:id="5"/>
      <w:r w:rsidR="00167E9D" w:rsidRPr="00167E9D">
        <w:t xml:space="preserve"> strukturno bliža trigonskoj bipiramid</w:t>
      </w:r>
      <w:r w:rsidR="008C2CD0">
        <w:t>i</w:t>
      </w:r>
      <w:r w:rsidR="00167E9D" w:rsidRPr="00167E9D">
        <w:t xml:space="preserve"> nego kvadratnoj piramidi.</w:t>
      </w:r>
    </w:p>
    <w:p w14:paraId="60C83160" w14:textId="6CDE825D" w:rsidR="00574647" w:rsidRDefault="00AE61EE" w:rsidP="004625D0">
      <w:pPr>
        <w:rPr>
          <w:rFonts w:ascii="Times New Roman" w:hAnsi="Times New Roman" w:cs="Times New Roman"/>
          <w:sz w:val="24"/>
        </w:rPr>
      </w:pPr>
      <w:r w:rsidRPr="001F666E">
        <w:rPr>
          <w:rFonts w:ascii="Times New Roman" w:hAnsi="Times New Roman" w:cs="Times New Roman"/>
          <w:b/>
          <w:bCs/>
          <w:sz w:val="24"/>
        </w:rPr>
        <w:t>Tablica 1.</w:t>
      </w:r>
      <w:r>
        <w:rPr>
          <w:rFonts w:ascii="Times New Roman" w:hAnsi="Times New Roman" w:cs="Times New Roman"/>
          <w:sz w:val="24"/>
        </w:rPr>
        <w:t xml:space="preserve"> </w:t>
      </w:r>
      <w:r w:rsidR="00DB712E">
        <w:rPr>
          <w:rFonts w:ascii="Times New Roman" w:hAnsi="Times New Roman" w:cs="Times New Roman"/>
          <w:sz w:val="24"/>
        </w:rPr>
        <w:t>EPR parametri Cu(II) kompleksa</w:t>
      </w:r>
      <w:r w:rsidR="0089798E">
        <w:rPr>
          <w:rFonts w:ascii="Times New Roman" w:hAnsi="Times New Roman" w:cs="Times New Roman"/>
          <w:sz w:val="24"/>
        </w:rPr>
        <w:t xml:space="preserve">, </w:t>
      </w:r>
      <w:r w:rsidR="00DB712E">
        <w:rPr>
          <w:rFonts w:ascii="Times New Roman" w:hAnsi="Times New Roman" w:cs="Times New Roman"/>
          <w:sz w:val="24"/>
        </w:rPr>
        <w:t>podatci preuzeti iz izvora 2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123"/>
        <w:gridCol w:w="2028"/>
        <w:gridCol w:w="2302"/>
      </w:tblGrid>
      <w:tr w:rsidR="00DB712E" w14:paraId="50E8313E" w14:textId="77777777" w:rsidTr="001F666E">
        <w:trPr>
          <w:trHeight w:val="567"/>
        </w:trPr>
        <w:tc>
          <w:tcPr>
            <w:tcW w:w="1443" w:type="pct"/>
            <w:shd w:val="clear" w:color="auto" w:fill="D9D9D9" w:themeFill="background1" w:themeFillShade="D9"/>
            <w:vAlign w:val="center"/>
          </w:tcPr>
          <w:p w14:paraId="7B1B2463" w14:textId="77777777" w:rsidR="00DB712E" w:rsidRPr="005E45F0" w:rsidRDefault="00DB712E" w:rsidP="00DB71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45F0">
              <w:rPr>
                <w:rFonts w:ascii="Times New Roman" w:hAnsi="Times New Roman" w:cs="Times New Roman"/>
                <w:b/>
                <w:sz w:val="24"/>
              </w:rPr>
              <w:t>Uzorak</w:t>
            </w:r>
          </w:p>
        </w:tc>
        <w:tc>
          <w:tcPr>
            <w:tcW w:w="1170" w:type="pct"/>
            <w:shd w:val="clear" w:color="auto" w:fill="D9D9D9" w:themeFill="background1" w:themeFillShade="D9"/>
            <w:vAlign w:val="center"/>
          </w:tcPr>
          <w:p w14:paraId="5B4FD51C" w14:textId="77777777" w:rsidR="00DB712E" w:rsidRPr="005E45F0" w:rsidRDefault="00DB712E" w:rsidP="00DB71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45F0">
              <w:rPr>
                <w:rFonts w:ascii="Times New Roman" w:hAnsi="Times New Roman" w:cs="Times New Roman"/>
                <w:b/>
                <w:sz w:val="24"/>
              </w:rPr>
              <w:t>[</w:t>
            </w:r>
            <w:r w:rsidRPr="005E45F0">
              <w:rPr>
                <w:rFonts w:ascii="Times New Roman" w:hAnsi="Times New Roman" w:cs="Times New Roman"/>
                <w:b/>
                <w:i/>
                <w:sz w:val="24"/>
              </w:rPr>
              <w:t>g</w:t>
            </w:r>
            <w:r w:rsidRPr="005E45F0">
              <w:rPr>
                <w:rFonts w:ascii="Times New Roman" w:hAnsi="Times New Roman" w:cs="Times New Roman"/>
                <w:b/>
                <w:sz w:val="24"/>
                <w:vertAlign w:val="subscript"/>
              </w:rPr>
              <w:t>x</w:t>
            </w:r>
            <w:r w:rsidRPr="005E45F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E45F0">
              <w:rPr>
                <w:rFonts w:ascii="Times New Roman" w:hAnsi="Times New Roman" w:cs="Times New Roman"/>
                <w:b/>
                <w:i/>
                <w:sz w:val="24"/>
              </w:rPr>
              <w:t>g</w:t>
            </w:r>
            <w:r w:rsidRPr="005E45F0">
              <w:rPr>
                <w:rFonts w:ascii="Times New Roman" w:hAnsi="Times New Roman" w:cs="Times New Roman"/>
                <w:b/>
                <w:sz w:val="24"/>
                <w:vertAlign w:val="subscript"/>
              </w:rPr>
              <w:t>y</w:t>
            </w:r>
            <w:r w:rsidRPr="005E45F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E45F0">
              <w:rPr>
                <w:rFonts w:ascii="Times New Roman" w:hAnsi="Times New Roman" w:cs="Times New Roman"/>
                <w:b/>
                <w:i/>
                <w:sz w:val="24"/>
              </w:rPr>
              <w:t>g</w:t>
            </w:r>
            <w:r w:rsidRPr="005E45F0">
              <w:rPr>
                <w:rFonts w:ascii="Times New Roman" w:hAnsi="Times New Roman" w:cs="Times New Roman"/>
                <w:b/>
                <w:sz w:val="24"/>
                <w:vertAlign w:val="subscript"/>
              </w:rPr>
              <w:t>z</w:t>
            </w:r>
            <w:r w:rsidRPr="005E45F0">
              <w:rPr>
                <w:rFonts w:ascii="Times New Roman" w:hAnsi="Times New Roman" w:cs="Times New Roman"/>
                <w:b/>
                <w:sz w:val="24"/>
              </w:rPr>
              <w:t xml:space="preserve"> ]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</w:tcPr>
          <w:p w14:paraId="20AF89C9" w14:textId="77777777" w:rsidR="00DB712E" w:rsidRPr="005E45F0" w:rsidRDefault="00DB712E" w:rsidP="00DB71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45F0">
              <w:rPr>
                <w:rFonts w:ascii="Times New Roman" w:hAnsi="Times New Roman" w:cs="Times New Roman"/>
                <w:b/>
                <w:sz w:val="24"/>
              </w:rPr>
              <w:t>Osnovno stanje</w:t>
            </w:r>
          </w:p>
        </w:tc>
        <w:tc>
          <w:tcPr>
            <w:tcW w:w="1269" w:type="pct"/>
            <w:shd w:val="clear" w:color="auto" w:fill="D9D9D9" w:themeFill="background1" w:themeFillShade="D9"/>
            <w:vAlign w:val="center"/>
          </w:tcPr>
          <w:p w14:paraId="0945AC1B" w14:textId="77777777" w:rsidR="00DB712E" w:rsidRPr="005E45F0" w:rsidRDefault="00DB712E" w:rsidP="00DB71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45F0">
              <w:rPr>
                <w:rFonts w:ascii="Times New Roman" w:hAnsi="Times New Roman" w:cs="Times New Roman"/>
                <w:b/>
                <w:sz w:val="24"/>
              </w:rPr>
              <w:t>Geometrija</w:t>
            </w:r>
          </w:p>
        </w:tc>
      </w:tr>
      <w:tr w:rsidR="00DB712E" w14:paraId="2D41D804" w14:textId="77777777" w:rsidTr="001F666E">
        <w:trPr>
          <w:trHeight w:val="567"/>
        </w:trPr>
        <w:tc>
          <w:tcPr>
            <w:tcW w:w="1443" w:type="pct"/>
            <w:vAlign w:val="center"/>
          </w:tcPr>
          <w:p w14:paraId="76B60285" w14:textId="77777777" w:rsidR="00DB712E" w:rsidRPr="001F666E" w:rsidRDefault="00DB712E" w:rsidP="00DB712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F666E">
              <w:rPr>
                <w:rFonts w:ascii="Times New Roman" w:hAnsi="Times New Roman" w:cs="Times New Roman"/>
                <w:szCs w:val="20"/>
              </w:rPr>
              <w:t>Cu(en)</w:t>
            </w:r>
            <w:r w:rsidRPr="001F666E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1F666E">
              <w:rPr>
                <w:rFonts w:ascii="Times New Roman" w:hAnsi="Times New Roman" w:cs="Times New Roman"/>
                <w:szCs w:val="20"/>
              </w:rPr>
              <w:t>(ClO</w:t>
            </w:r>
            <w:r w:rsidRPr="001F666E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1F666E">
              <w:rPr>
                <w:rFonts w:ascii="Times New Roman" w:hAnsi="Times New Roman" w:cs="Times New Roman"/>
                <w:szCs w:val="20"/>
              </w:rPr>
              <w:t>)</w:t>
            </w:r>
            <w:r w:rsidRPr="001F666E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170" w:type="pct"/>
            <w:vAlign w:val="center"/>
          </w:tcPr>
          <w:p w14:paraId="3F8B90D7" w14:textId="77777777" w:rsidR="00DB712E" w:rsidRPr="001F666E" w:rsidRDefault="00DB712E" w:rsidP="00DB712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F666E">
              <w:rPr>
                <w:rFonts w:ascii="Times New Roman" w:hAnsi="Times New Roman" w:cs="Times New Roman"/>
                <w:szCs w:val="20"/>
              </w:rPr>
              <w:t>[2.049 2.049 2.198]</w:t>
            </w:r>
          </w:p>
        </w:tc>
        <w:tc>
          <w:tcPr>
            <w:tcW w:w="1118" w:type="pct"/>
            <w:vAlign w:val="center"/>
          </w:tcPr>
          <w:p w14:paraId="684070EE" w14:textId="77777777" w:rsidR="00DB712E" w:rsidRPr="001F666E" w:rsidRDefault="00A25A95" w:rsidP="00DB712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0"/>
                      </w:rPr>
                      <m:t>d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 w:cs="Times New Roman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0"/>
                      </w:rPr>
                      <m:t>–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Cs w:val="20"/>
                          </w:rPr>
                          <m:t>y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Cs w:val="20"/>
                          </w:rPr>
                          <m:t>2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1269" w:type="pct"/>
            <w:vAlign w:val="center"/>
          </w:tcPr>
          <w:p w14:paraId="0B3938B9" w14:textId="77777777" w:rsidR="00DB712E" w:rsidRPr="001F666E" w:rsidRDefault="00DB712E" w:rsidP="00DB712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F666E">
              <w:rPr>
                <w:rFonts w:ascii="Times New Roman" w:hAnsi="Times New Roman" w:cs="Times New Roman"/>
                <w:szCs w:val="20"/>
              </w:rPr>
              <w:t>Izduženi oktaedar</w:t>
            </w:r>
          </w:p>
        </w:tc>
      </w:tr>
      <w:tr w:rsidR="00DB712E" w:rsidRPr="005E45F0" w14:paraId="24B0FCE1" w14:textId="77777777" w:rsidTr="001F666E">
        <w:trPr>
          <w:trHeight w:val="567"/>
        </w:trPr>
        <w:tc>
          <w:tcPr>
            <w:tcW w:w="1443" w:type="pct"/>
            <w:shd w:val="clear" w:color="auto" w:fill="F2F2F2" w:themeFill="background1" w:themeFillShade="F2"/>
            <w:vAlign w:val="center"/>
          </w:tcPr>
          <w:p w14:paraId="5208DDE1" w14:textId="02FA2578" w:rsidR="00DB712E" w:rsidRPr="001F666E" w:rsidRDefault="00B37F2A" w:rsidP="00B37F2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[</w:t>
            </w:r>
            <w:r w:rsidR="00DB712E" w:rsidRPr="001F666E">
              <w:rPr>
                <w:rFonts w:ascii="Times New Roman" w:hAnsi="Times New Roman" w:cs="Times New Roman"/>
                <w:szCs w:val="20"/>
              </w:rPr>
              <w:t>Cu(</w:t>
            </w:r>
            <w:r>
              <w:rPr>
                <w:rFonts w:ascii="Times New Roman" w:hAnsi="Times New Roman" w:cs="Times New Roman"/>
                <w:szCs w:val="20"/>
              </w:rPr>
              <w:t>phen</w:t>
            </w:r>
            <w:r w:rsidR="00DB712E" w:rsidRPr="001F666E">
              <w:rPr>
                <w:rFonts w:ascii="Times New Roman" w:hAnsi="Times New Roman" w:cs="Times New Roman"/>
                <w:szCs w:val="20"/>
              </w:rPr>
              <w:t>)</w:t>
            </w:r>
            <w:r w:rsidR="00DB712E" w:rsidRPr="001F666E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B37F2A">
              <w:rPr>
                <w:rFonts w:ascii="Times New Roman" w:hAnsi="Times New Roman" w:cs="Times New Roman"/>
                <w:szCs w:val="20"/>
              </w:rPr>
              <w:t>Cl</w:t>
            </w:r>
            <w:r>
              <w:rPr>
                <w:rFonts w:ascii="Times New Roman" w:hAnsi="Times New Roman" w:cs="Times New Roman"/>
                <w:szCs w:val="20"/>
              </w:rPr>
              <w:t>]Cl</w:t>
            </w:r>
            <w:r w:rsidR="00DB712E" w:rsidRPr="001F666E">
              <w:rPr>
                <w:rFonts w:ascii="Times New Roman" w:hAnsi="Times New Roman" w:cs="Times New Roman"/>
                <w:szCs w:val="20"/>
              </w:rPr>
              <w:t>O</w:t>
            </w:r>
            <w:r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1170" w:type="pct"/>
            <w:shd w:val="clear" w:color="auto" w:fill="F2F2F2" w:themeFill="background1" w:themeFillShade="F2"/>
            <w:vAlign w:val="center"/>
          </w:tcPr>
          <w:p w14:paraId="3934E511" w14:textId="6FDE3225" w:rsidR="00DB712E" w:rsidRPr="001F666E" w:rsidRDefault="00DB712E" w:rsidP="00B37F2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F666E">
              <w:rPr>
                <w:rFonts w:ascii="Times New Roman" w:hAnsi="Times New Roman" w:cs="Times New Roman"/>
                <w:szCs w:val="20"/>
              </w:rPr>
              <w:t>[2.</w:t>
            </w:r>
            <w:r w:rsidR="00B37F2A">
              <w:rPr>
                <w:rFonts w:ascii="Times New Roman" w:hAnsi="Times New Roman" w:cs="Times New Roman"/>
                <w:szCs w:val="20"/>
              </w:rPr>
              <w:t>170</w:t>
            </w:r>
            <w:r w:rsidRPr="001F666E">
              <w:rPr>
                <w:rFonts w:ascii="Times New Roman" w:hAnsi="Times New Roman" w:cs="Times New Roman"/>
                <w:szCs w:val="20"/>
              </w:rPr>
              <w:t xml:space="preserve"> 2.</w:t>
            </w:r>
            <w:r w:rsidR="00B37F2A">
              <w:rPr>
                <w:rFonts w:ascii="Times New Roman" w:hAnsi="Times New Roman" w:cs="Times New Roman"/>
                <w:szCs w:val="20"/>
              </w:rPr>
              <w:t>170</w:t>
            </w:r>
            <w:r w:rsidRPr="001F666E">
              <w:rPr>
                <w:rFonts w:ascii="Times New Roman" w:hAnsi="Times New Roman" w:cs="Times New Roman"/>
                <w:szCs w:val="20"/>
              </w:rPr>
              <w:t xml:space="preserve"> 2.</w:t>
            </w:r>
            <w:r w:rsidR="00B37F2A">
              <w:rPr>
                <w:rFonts w:ascii="Times New Roman" w:hAnsi="Times New Roman" w:cs="Times New Roman"/>
                <w:szCs w:val="20"/>
              </w:rPr>
              <w:t>005</w:t>
            </w:r>
            <w:r w:rsidRPr="001F666E">
              <w:rPr>
                <w:rFonts w:ascii="Times New Roman" w:hAnsi="Times New Roman" w:cs="Times New Roman"/>
                <w:szCs w:val="20"/>
              </w:rPr>
              <w:t>]</w:t>
            </w:r>
          </w:p>
        </w:tc>
        <w:tc>
          <w:tcPr>
            <w:tcW w:w="1118" w:type="pct"/>
            <w:shd w:val="clear" w:color="auto" w:fill="F2F2F2" w:themeFill="background1" w:themeFillShade="F2"/>
            <w:vAlign w:val="center"/>
          </w:tcPr>
          <w:p w14:paraId="3D449F55" w14:textId="73F3F544" w:rsidR="00DB712E" w:rsidRPr="001F666E" w:rsidRDefault="00A25A95" w:rsidP="004746F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0"/>
                      </w:rPr>
                      <m:t>d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 w:cs="Times New Roman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0"/>
                          </w:rPr>
                          <m:t>z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Cs w:val="20"/>
                          </w:rPr>
                          <m:t>2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1269" w:type="pct"/>
            <w:shd w:val="clear" w:color="auto" w:fill="F2F2F2" w:themeFill="background1" w:themeFillShade="F2"/>
            <w:vAlign w:val="center"/>
          </w:tcPr>
          <w:p w14:paraId="0CA157C6" w14:textId="337D8846" w:rsidR="00DB712E" w:rsidRPr="001F666E" w:rsidRDefault="00B37F2A" w:rsidP="00DB712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Trigonska bipiramida</w:t>
            </w:r>
          </w:p>
        </w:tc>
      </w:tr>
      <w:tr w:rsidR="00DB712E" w14:paraId="3CF6C734" w14:textId="77777777" w:rsidTr="001F666E">
        <w:trPr>
          <w:trHeight w:val="567"/>
        </w:trPr>
        <w:tc>
          <w:tcPr>
            <w:tcW w:w="1443" w:type="pct"/>
            <w:vAlign w:val="center"/>
          </w:tcPr>
          <w:p w14:paraId="34E21530" w14:textId="77777777" w:rsidR="00DB712E" w:rsidRPr="001F666E" w:rsidRDefault="005E45F0" w:rsidP="00DB712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F666E">
              <w:rPr>
                <w:rFonts w:ascii="Times New Roman" w:hAnsi="Times New Roman" w:cs="Times New Roman"/>
                <w:szCs w:val="20"/>
              </w:rPr>
              <w:t>[</w:t>
            </w:r>
            <w:r w:rsidR="00DB712E" w:rsidRPr="001F666E">
              <w:rPr>
                <w:rFonts w:ascii="Times New Roman" w:hAnsi="Times New Roman" w:cs="Times New Roman"/>
                <w:szCs w:val="20"/>
              </w:rPr>
              <w:t>Cu(phen)</w:t>
            </w:r>
            <w:r w:rsidR="00DB712E" w:rsidRPr="001F666E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="00DB712E" w:rsidRPr="001F666E">
              <w:rPr>
                <w:rFonts w:ascii="Times New Roman" w:hAnsi="Times New Roman" w:cs="Times New Roman"/>
                <w:szCs w:val="20"/>
              </w:rPr>
              <w:t>(H</w:t>
            </w:r>
            <w:r w:rsidR="00DB712E" w:rsidRPr="001F666E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="00DB712E" w:rsidRPr="001F666E">
              <w:rPr>
                <w:rFonts w:ascii="Times New Roman" w:hAnsi="Times New Roman" w:cs="Times New Roman"/>
                <w:szCs w:val="20"/>
              </w:rPr>
              <w:t>O)](NO</w:t>
            </w:r>
            <w:r w:rsidR="00DB712E" w:rsidRPr="001F666E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="00DB712E" w:rsidRPr="001F666E">
              <w:rPr>
                <w:rFonts w:ascii="Times New Roman" w:hAnsi="Times New Roman" w:cs="Times New Roman"/>
                <w:szCs w:val="20"/>
              </w:rPr>
              <w:t>)</w:t>
            </w:r>
            <w:r w:rsidR="00DB712E" w:rsidRPr="001F666E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1170" w:type="pct"/>
            <w:vAlign w:val="center"/>
          </w:tcPr>
          <w:p w14:paraId="605396EC" w14:textId="77777777" w:rsidR="00DB712E" w:rsidRPr="001F666E" w:rsidRDefault="00DB712E" w:rsidP="00DB712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F666E">
              <w:rPr>
                <w:rFonts w:ascii="Times New Roman" w:hAnsi="Times New Roman" w:cs="Times New Roman"/>
                <w:szCs w:val="20"/>
              </w:rPr>
              <w:t>[2.214 2.148 2.007]</w:t>
            </w:r>
          </w:p>
        </w:tc>
        <w:tc>
          <w:tcPr>
            <w:tcW w:w="1118" w:type="pct"/>
            <w:vAlign w:val="center"/>
          </w:tcPr>
          <w:p w14:paraId="01D1B654" w14:textId="77777777" w:rsidR="00DB712E" w:rsidRPr="001F666E" w:rsidRDefault="00DB712E" w:rsidP="00DB712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F666E">
              <w:rPr>
                <w:rFonts w:ascii="Times New Roman" w:hAnsi="Times New Roman" w:cs="Times New Roman"/>
                <w:i/>
                <w:szCs w:val="20"/>
              </w:rPr>
              <w:t>c</w:t>
            </w:r>
            <w:r w:rsidRPr="001F666E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Cs w:val="20"/>
                    </w:rPr>
                    <m:t>|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0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 w:cs="Times New Roman"/>
                          <w:szCs w:val="20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Cs w:val="20"/>
                        </w:rPr>
                        <m:t>z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Cs w:val="20"/>
                        </w:rPr>
                        <m:t>2</m:t>
                      </m:r>
                    </m:sup>
                  </m:sSup>
                </m:sub>
              </m:sSub>
              <m:r>
                <m:rPr>
                  <m:nor/>
                </m:rPr>
                <w:rPr>
                  <w:rFonts w:ascii="Cambria Math" w:hAnsi="Cambria Math" w:cs="Cambria Math"/>
                  <w:szCs w:val="20"/>
                </w:rPr>
                <m:t>〉</m:t>
              </m:r>
            </m:oMath>
            <w:r w:rsidRPr="001F666E">
              <w:rPr>
                <w:rFonts w:ascii="Times New Roman" w:hAnsi="Times New Roman" w:cs="Times New Roman"/>
                <w:szCs w:val="20"/>
              </w:rPr>
              <w:t xml:space="preserve"> + </w:t>
            </w:r>
            <w:r w:rsidRPr="001F666E">
              <w:rPr>
                <w:rFonts w:ascii="Times New Roman" w:hAnsi="Times New Roman" w:cs="Times New Roman"/>
                <w:i/>
                <w:szCs w:val="20"/>
              </w:rPr>
              <w:t>c</w:t>
            </w:r>
            <w:r w:rsidRPr="001F666E">
              <w:rPr>
                <w:rFonts w:ascii="Times New Roman" w:hAnsi="Times New Roman" w:cs="Times New Roman"/>
                <w:szCs w:val="20"/>
                <w:vertAlign w:val="subscript"/>
              </w:rPr>
              <w:t>1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Cs w:val="20"/>
                    </w:rPr>
                    <m:t>|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0"/>
                    </w:rPr>
                    <m:t>d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 w:cs="Times New Roman"/>
                          <w:szCs w:val="20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0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0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Cs w:val="20"/>
                        </w:rPr>
                        <m:t>y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Cs w:val="20"/>
                        </w:rPr>
                        <m:t>2</m:t>
                      </m:r>
                    </m:sup>
                  </m:sSup>
                </m:sub>
              </m:sSub>
              <m:r>
                <m:rPr>
                  <m:nor/>
                </m:rPr>
                <w:rPr>
                  <w:rFonts w:ascii="Cambria Math" w:hAnsi="Cambria Math" w:cs="Cambria Math"/>
                  <w:szCs w:val="20"/>
                </w:rPr>
                <m:t>〉</m:t>
              </m:r>
            </m:oMath>
          </w:p>
        </w:tc>
        <w:tc>
          <w:tcPr>
            <w:tcW w:w="1269" w:type="pct"/>
            <w:vAlign w:val="center"/>
          </w:tcPr>
          <w:p w14:paraId="654C58C7" w14:textId="77777777" w:rsidR="00DB712E" w:rsidRPr="001F666E" w:rsidRDefault="00DB712E" w:rsidP="00DB712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F666E">
              <w:rPr>
                <w:rFonts w:ascii="Times New Roman" w:hAnsi="Times New Roman" w:cs="Times New Roman"/>
                <w:szCs w:val="20"/>
              </w:rPr>
              <w:t xml:space="preserve">Prijelazno stanje kvadratna piramida – trigonska bipiramida </w:t>
            </w:r>
          </w:p>
        </w:tc>
      </w:tr>
    </w:tbl>
    <w:p w14:paraId="063292B3" w14:textId="19B37878" w:rsidR="009F7837" w:rsidRDefault="009F7837" w:rsidP="001F666E">
      <w:pPr>
        <w:pStyle w:val="Style1"/>
        <w:spacing w:before="240"/>
      </w:pPr>
      <w:r w:rsidRPr="009F7837">
        <w:t xml:space="preserve">Kod </w:t>
      </w:r>
      <w:r>
        <w:t>[</w:t>
      </w:r>
      <w:r w:rsidRPr="00AE61EE">
        <w:t>Cu(en)</w:t>
      </w:r>
      <w:r w:rsidRPr="00AE61EE">
        <w:rPr>
          <w:vertAlign w:val="subscript"/>
        </w:rPr>
        <w:t>2</w:t>
      </w:r>
      <w:r w:rsidRPr="00AE61EE">
        <w:t>(ClO</w:t>
      </w:r>
      <w:r w:rsidRPr="00AE61EE">
        <w:rPr>
          <w:vertAlign w:val="subscript"/>
        </w:rPr>
        <w:t>4</w:t>
      </w:r>
      <w:r w:rsidRPr="00AE61EE">
        <w:t>)</w:t>
      </w:r>
      <w:r w:rsidRPr="00AE61EE">
        <w:rPr>
          <w:vertAlign w:val="subscript"/>
        </w:rPr>
        <w:t>2</w:t>
      </w:r>
      <w:r>
        <w:t>] uočava se</w:t>
      </w:r>
      <w:r w:rsidRPr="009F7837">
        <w:t xml:space="preserve"> visok</w:t>
      </w:r>
      <w:r>
        <w:t>a</w:t>
      </w:r>
      <w:r w:rsidRPr="009F7837">
        <w:t xml:space="preserve"> simetrij</w:t>
      </w:r>
      <w:r>
        <w:t>a xy ravnine (</w:t>
      </w:r>
      <w:r w:rsidRPr="009F7837">
        <w:rPr>
          <w:i/>
        </w:rPr>
        <w:t>g</w:t>
      </w:r>
      <w:r w:rsidRPr="009F7837">
        <w:rPr>
          <w:vertAlign w:val="subscript"/>
        </w:rPr>
        <w:t>x</w:t>
      </w:r>
      <w:r>
        <w:t xml:space="preserve"> = </w:t>
      </w:r>
      <w:r w:rsidRPr="009F7837">
        <w:rPr>
          <w:i/>
        </w:rPr>
        <w:t>g</w:t>
      </w:r>
      <w:r w:rsidRPr="009F7837">
        <w:rPr>
          <w:vertAlign w:val="subscript"/>
        </w:rPr>
        <w:t>y</w:t>
      </w:r>
      <w:r w:rsidRPr="009F7837">
        <w:t>), što potvrđuje da su etilendiaminski ligandi fiksirali kvadratnu geometriju.</w:t>
      </w:r>
      <w:r>
        <w:t xml:space="preserve"> </w:t>
      </w:r>
      <w:r w:rsidRPr="009F7837">
        <w:t>Usporedb</w:t>
      </w:r>
      <w:r>
        <w:t>om</w:t>
      </w:r>
      <w:r w:rsidRPr="009F7837">
        <w:t xml:space="preserve"> triju odabranih kompleksa (Tablica 1) demonstrira visoku osjetljivost EPR spektroskopije na suptilne promjene u koordinacijskoj sferi bakrova(II) iona.</w:t>
      </w:r>
      <w:r>
        <w:t xml:space="preserve"> Prelazak s kloridnog liganda u [</w:t>
      </w:r>
      <w:r w:rsidRPr="00AE61EE">
        <w:t>Cu(phen)</w:t>
      </w:r>
      <w:r w:rsidRPr="00AE61EE">
        <w:rPr>
          <w:vertAlign w:val="subscript"/>
        </w:rPr>
        <w:t>2</w:t>
      </w:r>
      <w:r w:rsidRPr="00AE61EE">
        <w:t>Cl]ClO</w:t>
      </w:r>
      <w:r w:rsidRPr="00AE61EE">
        <w:rPr>
          <w:vertAlign w:val="subscript"/>
        </w:rPr>
        <w:t>4</w:t>
      </w:r>
      <w:r>
        <w:rPr>
          <w:vertAlign w:val="subscript"/>
        </w:rPr>
        <w:t xml:space="preserve"> </w:t>
      </w:r>
      <w:r>
        <w:t xml:space="preserve">na </w:t>
      </w:r>
      <w:r w:rsidRPr="009F7837">
        <w:lastRenderedPageBreak/>
        <w:t>ligand</w:t>
      </w:r>
      <w:r>
        <w:t xml:space="preserve"> koji sadrži molekulu vode</w:t>
      </w:r>
      <w:r w:rsidRPr="009F7837">
        <w:t xml:space="preserve"> u </w:t>
      </w:r>
      <w:r>
        <w:t>[</w:t>
      </w:r>
      <w:r w:rsidRPr="00AE61EE">
        <w:t>Cu(phen)</w:t>
      </w:r>
      <w:r w:rsidRPr="00AE61EE">
        <w:rPr>
          <w:vertAlign w:val="subscript"/>
        </w:rPr>
        <w:t>2</w:t>
      </w:r>
      <w:r w:rsidRPr="00AE61EE">
        <w:t>(H</w:t>
      </w:r>
      <w:r w:rsidRPr="00AE61EE">
        <w:rPr>
          <w:vertAlign w:val="subscript"/>
        </w:rPr>
        <w:t>2</w:t>
      </w:r>
      <w:r w:rsidRPr="00AE61EE">
        <w:t>O)](NO</w:t>
      </w:r>
      <w:r w:rsidRPr="00AE61EE">
        <w:rPr>
          <w:vertAlign w:val="subscript"/>
        </w:rPr>
        <w:t>3</w:t>
      </w:r>
      <w:r w:rsidRPr="00AE61EE">
        <w:t>)</w:t>
      </w:r>
      <w:r w:rsidRPr="00AE61EE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9F7837">
        <w:t xml:space="preserve">uzrokovao je </w:t>
      </w:r>
      <w:r>
        <w:t>znatnu</w:t>
      </w:r>
      <w:r w:rsidRPr="009F7837">
        <w:t xml:space="preserve"> promjenu iz aksijalnog u rombski profil. Ovo miješanje orbitala, vidljiv</w:t>
      </w:r>
      <w:r>
        <w:t xml:space="preserve">o kroz pojavu triju različitih </w:t>
      </w:r>
      <w:r>
        <w:br/>
      </w:r>
      <w:r w:rsidRPr="009F7837">
        <w:rPr>
          <w:i/>
        </w:rPr>
        <w:t>g</w:t>
      </w:r>
      <w:r w:rsidRPr="009F7837">
        <w:t>-vrijednosti, dokazuje da uvođenje molekule vode narušava strogu trigonsku simetriju i vodi kompleks u intermedijarno stanje. Dok klasične metode poput UV-Vis spektroskopije daju informacije o energetskim prijelazima, EPR omogućuje izravan uvid u simetriju elektronskog oblaka nesparenog elektrona.</w:t>
      </w:r>
      <w:r w:rsidR="00D778F8" w:rsidRPr="0089798E">
        <w:rPr>
          <w:vertAlign w:val="superscript"/>
        </w:rPr>
        <w:t>2</w:t>
      </w:r>
    </w:p>
    <w:p w14:paraId="7987E364" w14:textId="77777777" w:rsidR="00F723A6" w:rsidRPr="009519BA" w:rsidRDefault="00F723A6" w:rsidP="00F849C7">
      <w:pPr>
        <w:pStyle w:val="Style2"/>
      </w:pPr>
      <w:bookmarkStart w:id="6" w:name="_Toc227847316"/>
      <w:r w:rsidRPr="009519BA">
        <w:t>ZAKLJUČAK</w:t>
      </w:r>
      <w:bookmarkEnd w:id="6"/>
    </w:p>
    <w:p w14:paraId="46142FB0" w14:textId="6439E3C9" w:rsidR="00FF6067" w:rsidRDefault="006D440B" w:rsidP="00F849C7">
      <w:pPr>
        <w:pStyle w:val="Style1"/>
        <w:ind w:firstLine="360"/>
        <w:rPr>
          <w:sz w:val="28"/>
        </w:rPr>
      </w:pPr>
      <w:r w:rsidRPr="006D440B">
        <w:t>Analiza mononuklearnih bakrovih(II) kompleksa primjenom EPR spektroskopije potvrđuje izravnu korelaciju između magnetskih svojstava i molekulske strukture koordinacijske sfere. Ključnu ulogu u interpretaciji dobivenih spektara ima Jahn-Tellerov teorem, koji predviđa deformaciju oktaedarske geometrije, što se u spektrima očituje kroz karakt</w:t>
      </w:r>
      <w:r>
        <w:t xml:space="preserve">erističnu anizotropiju </w:t>
      </w:r>
      <w:r w:rsidRPr="006D440B">
        <w:rPr>
          <w:b/>
          <w:i/>
        </w:rPr>
        <w:t>g</w:t>
      </w:r>
      <w:r w:rsidRPr="006D440B">
        <w:t>-tenzora.</w:t>
      </w:r>
      <w:r w:rsidR="00845420">
        <w:t xml:space="preserve"> Analizom </w:t>
      </w:r>
      <w:r w:rsidR="00845420" w:rsidRPr="00845420">
        <w:rPr>
          <w:i/>
        </w:rPr>
        <w:t>g</w:t>
      </w:r>
      <w:r w:rsidR="00845420" w:rsidRPr="00845420">
        <w:t>-vrijednosti i njihovog odnosa, možemo precizno odrediti osnovno elektronsko stanje iona, što nam izravno govori o prostornom raspore</w:t>
      </w:r>
      <w:r w:rsidR="00845420">
        <w:t xml:space="preserve">du liganda oko metalnog centra. </w:t>
      </w:r>
      <w:r w:rsidR="00845420" w:rsidRPr="00845420">
        <w:t>U konačnici, EPR spektroskopija se potvrđuje kao ključna metoda za mapiranje strukturne fleksibilno</w:t>
      </w:r>
      <w:r w:rsidR="00845420">
        <w:t>sti Cu(II) iona, omogućujući</w:t>
      </w:r>
      <w:r w:rsidR="00845420" w:rsidRPr="00845420">
        <w:t xml:space="preserve"> da</w:t>
      </w:r>
      <w:r w:rsidR="00845420">
        <w:t xml:space="preserve"> se</w:t>
      </w:r>
      <w:r w:rsidR="00845420" w:rsidRPr="00845420">
        <w:t xml:space="preserve"> precizno definira</w:t>
      </w:r>
      <w:r w:rsidR="00845420">
        <w:t xml:space="preserve"> granica </w:t>
      </w:r>
      <w:r w:rsidR="00845420" w:rsidRPr="00845420">
        <w:t>između idealiziranih geometrijskih oblika i stvarnih distorzija u koordinacijskoj sferi.</w:t>
      </w:r>
      <w:r w:rsidR="00FF6067">
        <w:rPr>
          <w:sz w:val="28"/>
        </w:rPr>
        <w:br w:type="page"/>
      </w:r>
    </w:p>
    <w:p w14:paraId="4C5F9192" w14:textId="7EB021F8" w:rsidR="00D61006" w:rsidRDefault="00D61006" w:rsidP="00F849C7">
      <w:pPr>
        <w:pStyle w:val="Style2"/>
        <w:numPr>
          <w:ilvl w:val="0"/>
          <w:numId w:val="0"/>
        </w:numPr>
        <w:ind w:left="641"/>
      </w:pPr>
      <w:bookmarkStart w:id="7" w:name="_Toc227847317"/>
      <w:r w:rsidRPr="00BB4DBC">
        <w:lastRenderedPageBreak/>
        <w:t>Literatura</w:t>
      </w:r>
      <w:bookmarkEnd w:id="7"/>
    </w:p>
    <w:p w14:paraId="2AE0E4D9" w14:textId="09173ED4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Brustolon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M.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Electron Paramagnetic Resonance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2009, 83–100. </w:t>
      </w:r>
    </w:p>
    <w:p w14:paraId="10B81169" w14:textId="45BF5E92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Garribba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E.;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Micera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G.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J. Chem. Educ.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2006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83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1229–1232. </w:t>
      </w:r>
    </w:p>
    <w:p w14:paraId="00809296" w14:textId="3110663E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Duin, E. C.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EPR Theory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Auburn Univ. </w:t>
      </w:r>
    </w:p>
    <w:p w14:paraId="5F8422C3" w14:textId="28FDD88F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Han, Y. et al.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Langmuir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2026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42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3716–3731. </w:t>
      </w:r>
    </w:p>
    <w:p w14:paraId="6B367B5D" w14:textId="6508A842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Melník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M. et al.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J. Coord. Chem.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2000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50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177–322. </w:t>
      </w:r>
    </w:p>
    <w:p w14:paraId="24279300" w14:textId="55B1E3ED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Melník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M. et al.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J. Coord. Chem.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1999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48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271–374. </w:t>
      </w:r>
    </w:p>
    <w:p w14:paraId="1D3F365A" w14:textId="4D24FA78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Melník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M. et al.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J. Coord. Chem.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1998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45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147–359. </w:t>
      </w:r>
    </w:p>
    <w:p w14:paraId="1D14DBE3" w14:textId="361A65A1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Melník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M. et al.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J. Coord. Chem.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1998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45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31–145. </w:t>
      </w:r>
    </w:p>
    <w:p w14:paraId="444447FD" w14:textId="1AE81073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Melník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M. et al.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J. Coord. Chem.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1997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41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35–182. </w:t>
      </w:r>
    </w:p>
    <w:p w14:paraId="0A8A9B6A" w14:textId="4373E428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Kozlevčar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B.; Segedin, P.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Acta Chim. Slov.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2008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55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689–702. </w:t>
      </w:r>
    </w:p>
    <w:p w14:paraId="0278F792" w14:textId="1FFFC832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Bersuker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I. B.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Chem. Rev.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2021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121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1463–1512. </w:t>
      </w:r>
    </w:p>
    <w:p w14:paraId="75BE4925" w14:textId="49E5AE1B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Chiesa, M.;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Giamello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E. </w:t>
      </w:r>
      <w:proofErr w:type="spellStart"/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Catal</w:t>
      </w:r>
      <w:proofErr w:type="spellEnd"/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. Lett.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2021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151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3417–3436. </w:t>
      </w:r>
    </w:p>
    <w:p w14:paraId="2008F79F" w14:textId="1E0827A5" w:rsidR="006D02E8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Bersuker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I. B.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Chem. Rev.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2021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121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1463–1512. </w:t>
      </w:r>
    </w:p>
    <w:p w14:paraId="42224DE9" w14:textId="32280F1A" w:rsidR="004625D0" w:rsidRPr="006D02E8" w:rsidRDefault="006D02E8" w:rsidP="006D02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6D02E8">
        <w:rPr>
          <w:rFonts w:ascii="Times New Roman" w:hAnsi="Times New Roman" w:cs="Times New Roman"/>
          <w:sz w:val="24"/>
          <w:szCs w:val="24"/>
          <w:lang w:val="en-GB"/>
        </w:rPr>
        <w:t>Kozlevčar</w:t>
      </w:r>
      <w:proofErr w:type="spellEnd"/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B. et al.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Z. </w:t>
      </w:r>
      <w:proofErr w:type="spellStart"/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Naturforsch</w:t>
      </w:r>
      <w:proofErr w:type="spellEnd"/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. B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2E8">
        <w:rPr>
          <w:rFonts w:ascii="Times New Roman" w:hAnsi="Times New Roman" w:cs="Times New Roman"/>
          <w:b/>
          <w:bCs/>
          <w:sz w:val="24"/>
          <w:szCs w:val="24"/>
          <w:lang w:val="en-GB"/>
        </w:rPr>
        <w:t>2005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D02E8">
        <w:rPr>
          <w:rFonts w:ascii="Times New Roman" w:hAnsi="Times New Roman" w:cs="Times New Roman"/>
          <w:i/>
          <w:iCs/>
          <w:sz w:val="24"/>
          <w:szCs w:val="24"/>
          <w:lang w:val="en-GB"/>
        </w:rPr>
        <w:t>60</w:t>
      </w:r>
      <w:r w:rsidRPr="006D02E8">
        <w:rPr>
          <w:rFonts w:ascii="Times New Roman" w:hAnsi="Times New Roman" w:cs="Times New Roman"/>
          <w:sz w:val="24"/>
          <w:szCs w:val="24"/>
          <w:lang w:val="en-GB"/>
        </w:rPr>
        <w:t>, 1273–1277.</w:t>
      </w:r>
    </w:p>
    <w:sectPr w:rsidR="004625D0" w:rsidRPr="006D02E8" w:rsidSect="00FF6067">
      <w:headerReference w:type="even" r:id="rId16"/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A9C89" w14:textId="77777777" w:rsidR="00A25A95" w:rsidRDefault="00A25A95" w:rsidP="00064391">
      <w:pPr>
        <w:spacing w:after="0" w:line="240" w:lineRule="auto"/>
      </w:pPr>
      <w:r>
        <w:separator/>
      </w:r>
    </w:p>
  </w:endnote>
  <w:endnote w:type="continuationSeparator" w:id="0">
    <w:p w14:paraId="3DF5976E" w14:textId="77777777" w:rsidR="00A25A95" w:rsidRDefault="00A25A95" w:rsidP="0006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280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757D1" w14:textId="0F47A9BF" w:rsidR="005808C6" w:rsidRPr="00064391" w:rsidRDefault="005808C6">
        <w:pPr>
          <w:pStyle w:val="Footer"/>
          <w:jc w:val="center"/>
        </w:pPr>
        <w:r w:rsidRPr="00064391">
          <w:fldChar w:fldCharType="begin"/>
        </w:r>
        <w:r w:rsidRPr="00064391">
          <w:instrText xml:space="preserve"> PAGE   \* MERGEFORMAT </w:instrText>
        </w:r>
        <w:r w:rsidRPr="00064391">
          <w:fldChar w:fldCharType="separate"/>
        </w:r>
        <w:r w:rsidR="003642AE">
          <w:rPr>
            <w:noProof/>
          </w:rPr>
          <w:t>11</w:t>
        </w:r>
        <w:r w:rsidRPr="00064391">
          <w:rPr>
            <w:noProof/>
          </w:rPr>
          <w:fldChar w:fldCharType="end"/>
        </w:r>
      </w:p>
    </w:sdtContent>
  </w:sdt>
  <w:p w14:paraId="46E0D826" w14:textId="77777777" w:rsidR="005808C6" w:rsidRDefault="00580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34E38" w14:textId="77777777" w:rsidR="00A25A95" w:rsidRDefault="00A25A95" w:rsidP="00064391">
      <w:pPr>
        <w:spacing w:after="0" w:line="240" w:lineRule="auto"/>
      </w:pPr>
      <w:r>
        <w:separator/>
      </w:r>
    </w:p>
  </w:footnote>
  <w:footnote w:type="continuationSeparator" w:id="0">
    <w:p w14:paraId="5360F298" w14:textId="77777777" w:rsidR="00A25A95" w:rsidRDefault="00A25A95" w:rsidP="0006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64341" w14:textId="6D5331D9" w:rsidR="00FF6067" w:rsidRDefault="00FF6067">
    <w:pPr>
      <w:pStyle w:val="Header"/>
    </w:pPr>
    <w:r w:rsidRPr="00FF6067">
      <w:rPr>
        <w:rFonts w:ascii="Times New Roman" w:hAnsi="Times New Roman" w:cs="Times New Roman"/>
        <w:bCs/>
        <w:sz w:val="20"/>
        <w:szCs w:val="16"/>
      </w:rPr>
      <w:t>Istraživanje bakrovih(II) kompleksa primjenom elektronske paramagnetske rezonancije</w:t>
    </w:r>
    <w:r>
      <w:rPr>
        <w:rFonts w:ascii="Times New Roman" w:hAnsi="Times New Roman" w:cs="Times New Roman"/>
        <w:bCs/>
        <w:sz w:val="20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8422E" w14:textId="76D5815C" w:rsidR="00FF6067" w:rsidRDefault="00FF6067">
    <w:pPr>
      <w:pStyle w:val="Header"/>
    </w:pPr>
    <w:r>
      <w:rPr>
        <w:rFonts w:ascii="Times New Roman" w:hAnsi="Times New Roman" w:cs="Times New Roman"/>
        <w:bCs/>
        <w:sz w:val="20"/>
        <w:szCs w:val="16"/>
      </w:rPr>
      <w:t>Kemijski seminar I</w:t>
    </w:r>
    <w:r w:rsidRPr="00FF6067">
      <w:rPr>
        <w:rFonts w:ascii="Times New Roman" w:hAnsi="Times New Roman" w:cs="Times New Roman"/>
        <w:bCs/>
        <w:sz w:val="20"/>
        <w:szCs w:val="16"/>
      </w:rPr>
      <w:ptab w:relativeTo="margin" w:alignment="center" w:leader="none"/>
    </w:r>
    <w:r w:rsidRPr="00FF6067">
      <w:rPr>
        <w:rFonts w:ascii="Times New Roman" w:hAnsi="Times New Roman" w:cs="Times New Roman"/>
        <w:bCs/>
        <w:sz w:val="20"/>
        <w:szCs w:val="16"/>
      </w:rPr>
      <w:ptab w:relativeTo="margin" w:alignment="right" w:leader="none"/>
    </w:r>
    <w:r>
      <w:rPr>
        <w:rFonts w:ascii="Times New Roman" w:hAnsi="Times New Roman" w:cs="Times New Roman"/>
        <w:bCs/>
        <w:sz w:val="20"/>
        <w:szCs w:val="16"/>
      </w:rPr>
      <w:t>David Kučera-Čavara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A83"/>
    <w:multiLevelType w:val="hybridMultilevel"/>
    <w:tmpl w:val="09E60150"/>
    <w:lvl w:ilvl="0" w:tplc="98FA5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9A"/>
    <w:multiLevelType w:val="hybridMultilevel"/>
    <w:tmpl w:val="DA96681E"/>
    <w:lvl w:ilvl="0" w:tplc="E4BEF986">
      <w:start w:val="1"/>
      <w:numFmt w:val="decimal"/>
      <w:pStyle w:val="Style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B5EC3"/>
    <w:multiLevelType w:val="multilevel"/>
    <w:tmpl w:val="777AE48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</w:rPr>
    </w:lvl>
  </w:abstractNum>
  <w:abstractNum w:abstractNumId="3" w15:restartNumberingAfterBreak="0">
    <w:nsid w:val="51ED2A9D"/>
    <w:multiLevelType w:val="multilevel"/>
    <w:tmpl w:val="777AE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44B6478"/>
    <w:multiLevelType w:val="hybridMultilevel"/>
    <w:tmpl w:val="9A4CFB5C"/>
    <w:lvl w:ilvl="0" w:tplc="BF98DBF4">
      <w:start w:val="1"/>
      <w:numFmt w:val="decimal"/>
      <w:pStyle w:val="Style3"/>
      <w:lvlText w:val="2.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B429A5"/>
    <w:multiLevelType w:val="multilevel"/>
    <w:tmpl w:val="ADC8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B6"/>
    <w:rsid w:val="0004607D"/>
    <w:rsid w:val="00062740"/>
    <w:rsid w:val="00064391"/>
    <w:rsid w:val="000712AE"/>
    <w:rsid w:val="0008205F"/>
    <w:rsid w:val="000913F4"/>
    <w:rsid w:val="000B4693"/>
    <w:rsid w:val="000C3163"/>
    <w:rsid w:val="001274A1"/>
    <w:rsid w:val="001529CE"/>
    <w:rsid w:val="001638D7"/>
    <w:rsid w:val="00167E9D"/>
    <w:rsid w:val="00177C95"/>
    <w:rsid w:val="001A7C6B"/>
    <w:rsid w:val="001B5819"/>
    <w:rsid w:val="001D039E"/>
    <w:rsid w:val="001D1FFC"/>
    <w:rsid w:val="001F666E"/>
    <w:rsid w:val="00233D66"/>
    <w:rsid w:val="00245EDF"/>
    <w:rsid w:val="0027102B"/>
    <w:rsid w:val="0028147A"/>
    <w:rsid w:val="002865A8"/>
    <w:rsid w:val="002B47BA"/>
    <w:rsid w:val="002C3365"/>
    <w:rsid w:val="002C3EFE"/>
    <w:rsid w:val="002D2090"/>
    <w:rsid w:val="002E2688"/>
    <w:rsid w:val="00306759"/>
    <w:rsid w:val="00313428"/>
    <w:rsid w:val="003443D2"/>
    <w:rsid w:val="003642AE"/>
    <w:rsid w:val="00374988"/>
    <w:rsid w:val="00393B17"/>
    <w:rsid w:val="003C62D5"/>
    <w:rsid w:val="00453A2E"/>
    <w:rsid w:val="004625D0"/>
    <w:rsid w:val="004746F5"/>
    <w:rsid w:val="004771F0"/>
    <w:rsid w:val="00495BB6"/>
    <w:rsid w:val="004A6F19"/>
    <w:rsid w:val="004B5DE2"/>
    <w:rsid w:val="004B7C7E"/>
    <w:rsid w:val="004D61DE"/>
    <w:rsid w:val="004E7B1A"/>
    <w:rsid w:val="005022E9"/>
    <w:rsid w:val="00521EBE"/>
    <w:rsid w:val="005656E4"/>
    <w:rsid w:val="00574647"/>
    <w:rsid w:val="005808C6"/>
    <w:rsid w:val="005E45F0"/>
    <w:rsid w:val="00637CDD"/>
    <w:rsid w:val="00664BF8"/>
    <w:rsid w:val="006B0682"/>
    <w:rsid w:val="006D02E8"/>
    <w:rsid w:val="006D440B"/>
    <w:rsid w:val="006F2E94"/>
    <w:rsid w:val="00703985"/>
    <w:rsid w:val="00711B75"/>
    <w:rsid w:val="00717CB2"/>
    <w:rsid w:val="00744260"/>
    <w:rsid w:val="00761D21"/>
    <w:rsid w:val="0079416E"/>
    <w:rsid w:val="007A1733"/>
    <w:rsid w:val="007C76DB"/>
    <w:rsid w:val="007D30B8"/>
    <w:rsid w:val="007E5986"/>
    <w:rsid w:val="00805771"/>
    <w:rsid w:val="0081551E"/>
    <w:rsid w:val="00845420"/>
    <w:rsid w:val="00857260"/>
    <w:rsid w:val="00862899"/>
    <w:rsid w:val="008653CC"/>
    <w:rsid w:val="00877934"/>
    <w:rsid w:val="0089798E"/>
    <w:rsid w:val="008A1277"/>
    <w:rsid w:val="008C2CD0"/>
    <w:rsid w:val="008D1E0D"/>
    <w:rsid w:val="009248E9"/>
    <w:rsid w:val="009519BA"/>
    <w:rsid w:val="009708F4"/>
    <w:rsid w:val="00981EB3"/>
    <w:rsid w:val="009A4EED"/>
    <w:rsid w:val="009F7837"/>
    <w:rsid w:val="00A0199C"/>
    <w:rsid w:val="00A04768"/>
    <w:rsid w:val="00A05592"/>
    <w:rsid w:val="00A06CF8"/>
    <w:rsid w:val="00A06F26"/>
    <w:rsid w:val="00A172F6"/>
    <w:rsid w:val="00A25A95"/>
    <w:rsid w:val="00A3258C"/>
    <w:rsid w:val="00A4633D"/>
    <w:rsid w:val="00A601B8"/>
    <w:rsid w:val="00A80A17"/>
    <w:rsid w:val="00AA486F"/>
    <w:rsid w:val="00AB6E0A"/>
    <w:rsid w:val="00AC71DB"/>
    <w:rsid w:val="00AE61EE"/>
    <w:rsid w:val="00AF7BDC"/>
    <w:rsid w:val="00B0622E"/>
    <w:rsid w:val="00B10C77"/>
    <w:rsid w:val="00B152EA"/>
    <w:rsid w:val="00B37F2A"/>
    <w:rsid w:val="00B5051C"/>
    <w:rsid w:val="00B738E3"/>
    <w:rsid w:val="00BB4DBC"/>
    <w:rsid w:val="00BE17E6"/>
    <w:rsid w:val="00BF5C83"/>
    <w:rsid w:val="00C10441"/>
    <w:rsid w:val="00C15416"/>
    <w:rsid w:val="00C50840"/>
    <w:rsid w:val="00C54E75"/>
    <w:rsid w:val="00C91555"/>
    <w:rsid w:val="00CC6439"/>
    <w:rsid w:val="00CF38E6"/>
    <w:rsid w:val="00D33F07"/>
    <w:rsid w:val="00D5567B"/>
    <w:rsid w:val="00D61006"/>
    <w:rsid w:val="00D778F8"/>
    <w:rsid w:val="00DB712E"/>
    <w:rsid w:val="00DC48FF"/>
    <w:rsid w:val="00DE5293"/>
    <w:rsid w:val="00E0038D"/>
    <w:rsid w:val="00E03E8D"/>
    <w:rsid w:val="00E22550"/>
    <w:rsid w:val="00E534EB"/>
    <w:rsid w:val="00E537C3"/>
    <w:rsid w:val="00E60978"/>
    <w:rsid w:val="00EB20EE"/>
    <w:rsid w:val="00EC1132"/>
    <w:rsid w:val="00EC7F22"/>
    <w:rsid w:val="00ED082F"/>
    <w:rsid w:val="00F23BB0"/>
    <w:rsid w:val="00F3552F"/>
    <w:rsid w:val="00F45309"/>
    <w:rsid w:val="00F466DE"/>
    <w:rsid w:val="00F64134"/>
    <w:rsid w:val="00F723A6"/>
    <w:rsid w:val="00F73980"/>
    <w:rsid w:val="00F77325"/>
    <w:rsid w:val="00F8209C"/>
    <w:rsid w:val="00F849C7"/>
    <w:rsid w:val="00FB01A2"/>
    <w:rsid w:val="00FD1D29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EEE9A"/>
  <w15:chartTrackingRefBased/>
  <w15:docId w15:val="{239C7E71-9392-4449-8787-573585BD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9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9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9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49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49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391"/>
  </w:style>
  <w:style w:type="paragraph" w:styleId="Footer">
    <w:name w:val="footer"/>
    <w:basedOn w:val="Normal"/>
    <w:link w:val="FooterChar"/>
    <w:uiPriority w:val="99"/>
    <w:unhideWhenUsed/>
    <w:rsid w:val="0006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391"/>
  </w:style>
  <w:style w:type="paragraph" w:styleId="NormalWeb">
    <w:name w:val="Normal (Web)"/>
    <w:basedOn w:val="Normal"/>
    <w:uiPriority w:val="99"/>
    <w:unhideWhenUsed/>
    <w:rsid w:val="004D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th-inline">
    <w:name w:val="math-inline"/>
    <w:basedOn w:val="DefaultParagraphFont"/>
    <w:rsid w:val="006D440B"/>
  </w:style>
  <w:style w:type="table" w:styleId="TableGrid">
    <w:name w:val="Table Grid"/>
    <w:basedOn w:val="TableNormal"/>
    <w:uiPriority w:val="39"/>
    <w:rsid w:val="00DB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12E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52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52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52EA"/>
    <w:rPr>
      <w:vertAlign w:val="superscript"/>
    </w:rPr>
  </w:style>
  <w:style w:type="paragraph" w:customStyle="1" w:styleId="Style1">
    <w:name w:val="Style1"/>
    <w:basedOn w:val="Normal"/>
    <w:qFormat/>
    <w:rsid w:val="00FF6067"/>
    <w:pPr>
      <w:spacing w:before="120" w:after="120" w:line="36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4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49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49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49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849C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yle2">
    <w:name w:val="Style2"/>
    <w:basedOn w:val="Heading1"/>
    <w:qFormat/>
    <w:rsid w:val="00F849C7"/>
    <w:pPr>
      <w:numPr>
        <w:numId w:val="4"/>
      </w:numPr>
      <w:spacing w:after="120" w:line="360" w:lineRule="auto"/>
      <w:ind w:left="641" w:hanging="357"/>
    </w:pPr>
    <w:rPr>
      <w:rFonts w:ascii="Times New Roman" w:hAnsi="Times New Roman"/>
      <w:b/>
      <w:sz w:val="28"/>
    </w:rPr>
  </w:style>
  <w:style w:type="paragraph" w:customStyle="1" w:styleId="Style3">
    <w:name w:val="Style3"/>
    <w:basedOn w:val="Style2"/>
    <w:qFormat/>
    <w:rsid w:val="006D02E8"/>
    <w:pPr>
      <w:numPr>
        <w:numId w:val="5"/>
      </w:numPr>
      <w:spacing w:before="120"/>
    </w:pPr>
    <w:rPr>
      <w:b w:val="0"/>
      <w:i/>
      <w:color w:val="auto"/>
      <w:sz w:val="24"/>
    </w:rPr>
  </w:style>
  <w:style w:type="paragraph" w:customStyle="1" w:styleId="imagetitle">
    <w:name w:val="image_title"/>
    <w:basedOn w:val="Normal"/>
    <w:qFormat/>
    <w:rsid w:val="00F849C7"/>
    <w:pPr>
      <w:spacing w:after="240" w:line="240" w:lineRule="auto"/>
      <w:jc w:val="center"/>
    </w:pPr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6D02E8"/>
    <w:pPr>
      <w:tabs>
        <w:tab w:val="left" w:pos="440"/>
        <w:tab w:val="right" w:leader="dot" w:pos="9062"/>
      </w:tabs>
      <w:spacing w:before="120" w:after="120" w:line="360" w:lineRule="auto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9798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9798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9798E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9798E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9798E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9798E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9798E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9798E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798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D02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B87E-0418-4E2C-B139-F8DE7335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2896</TotalTime>
  <Pages>13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LMR_user</dc:creator>
  <cp:keywords/>
  <dc:description/>
  <cp:lastModifiedBy>LMR_user</cp:lastModifiedBy>
  <cp:revision>14</cp:revision>
  <cp:lastPrinted>2026-05-12T07:32:00Z</cp:lastPrinted>
  <dcterms:created xsi:type="dcterms:W3CDTF">2026-04-22T14:56:00Z</dcterms:created>
  <dcterms:modified xsi:type="dcterms:W3CDTF">2026-05-13T09:17:00Z</dcterms:modified>
</cp:coreProperties>
</file>