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4C61F" w14:textId="7EED2BED" w:rsidR="00560ED1" w:rsidRDefault="00560ED1">
      <w:pPr>
        <w:rPr>
          <w:rFonts w:ascii="Times New Roman" w:hAnsi="Times New Roman" w:cs="Times New Roman"/>
          <w:b/>
          <w:i/>
          <w:sz w:val="24"/>
          <w:szCs w:val="24"/>
        </w:rPr>
      </w:pPr>
    </w:p>
    <w:tbl>
      <w:tblPr>
        <w:tblW w:w="9422" w:type="dxa"/>
        <w:tblLayout w:type="fixed"/>
        <w:tblLook w:val="0000" w:firstRow="0" w:lastRow="0" w:firstColumn="0" w:lastColumn="0" w:noHBand="0" w:noVBand="0"/>
      </w:tblPr>
      <w:tblGrid>
        <w:gridCol w:w="2364"/>
        <w:gridCol w:w="7058"/>
      </w:tblGrid>
      <w:tr w:rsidR="00560ED1" w:rsidRPr="00392288" w14:paraId="01FFAA1D" w14:textId="77777777" w:rsidTr="00FF5A8D">
        <w:trPr>
          <w:trHeight w:val="2414"/>
        </w:trPr>
        <w:tc>
          <w:tcPr>
            <w:tcW w:w="2364" w:type="dxa"/>
          </w:tcPr>
          <w:p w14:paraId="13EA28D1" w14:textId="684876E0" w:rsidR="00560ED1" w:rsidRPr="00392288" w:rsidRDefault="00560ED1" w:rsidP="00FF5A8D">
            <w:pPr>
              <w:pStyle w:val="Header"/>
              <w:rPr>
                <w:rFonts w:ascii="UniZgLight" w:hAnsi="UniZgLight"/>
                <w:sz w:val="22"/>
                <w:szCs w:val="22"/>
              </w:rPr>
            </w:pPr>
            <w:r w:rsidRPr="00392288">
              <w:rPr>
                <w:rFonts w:ascii="UniZgLight" w:hAnsi="UniZgLight"/>
                <w:sz w:val="22"/>
                <w:szCs w:val="22"/>
                <w:lang w:val="es-ES"/>
              </w:rPr>
              <w:t xml:space="preserve">  </w:t>
            </w:r>
            <w:r w:rsidRPr="00392288">
              <w:rPr>
                <w:rFonts w:ascii="UniZgLight" w:hAnsi="UniZgLight"/>
                <w:sz w:val="22"/>
                <w:szCs w:val="22"/>
              </w:rPr>
              <w:t xml:space="preserve">  </w:t>
            </w:r>
            <w:r>
              <w:rPr>
                <w:rFonts w:ascii="UniZgLight" w:hAnsi="UniZgLight"/>
                <w:noProof/>
                <w:sz w:val="22"/>
                <w:szCs w:val="22"/>
              </w:rPr>
              <w:drawing>
                <wp:inline distT="0" distB="0" distL="0" distR="0" wp14:anchorId="03DEC2F7" wp14:editId="2764FCF1">
                  <wp:extent cx="1363980" cy="1328420"/>
                  <wp:effectExtent l="0" t="0" r="7620" b="508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3980" cy="1328420"/>
                          </a:xfrm>
                          <a:prstGeom prst="rect">
                            <a:avLst/>
                          </a:prstGeom>
                          <a:noFill/>
                          <a:ln>
                            <a:noFill/>
                          </a:ln>
                        </pic:spPr>
                      </pic:pic>
                    </a:graphicData>
                  </a:graphic>
                </wp:inline>
              </w:drawing>
            </w:r>
          </w:p>
        </w:tc>
        <w:tc>
          <w:tcPr>
            <w:tcW w:w="7058" w:type="dxa"/>
          </w:tcPr>
          <w:p w14:paraId="192C9E6A" w14:textId="77777777" w:rsidR="00560ED1" w:rsidRPr="00392288" w:rsidRDefault="00560ED1" w:rsidP="00FF5A8D">
            <w:pPr>
              <w:pStyle w:val="Header"/>
              <w:jc w:val="right"/>
              <w:rPr>
                <w:rFonts w:ascii="UniZgLight" w:hAnsi="UniZgLight"/>
                <w:sz w:val="22"/>
                <w:szCs w:val="22"/>
              </w:rPr>
            </w:pPr>
            <w:r w:rsidRPr="00392288">
              <w:rPr>
                <w:rFonts w:ascii="UniZgLight" w:hAnsi="UniZgLight"/>
                <w:sz w:val="22"/>
                <w:szCs w:val="22"/>
              </w:rPr>
              <w:t>SVEUČILIŠTE U ZAGREBU</w:t>
            </w:r>
          </w:p>
          <w:p w14:paraId="5FC5FCBB" w14:textId="77777777" w:rsidR="00560ED1" w:rsidRPr="00392288" w:rsidRDefault="00560ED1" w:rsidP="00FF5A8D">
            <w:pPr>
              <w:pStyle w:val="Header"/>
              <w:jc w:val="right"/>
              <w:rPr>
                <w:rFonts w:ascii="UniZgLight" w:hAnsi="UniZgLight"/>
                <w:sz w:val="22"/>
                <w:szCs w:val="22"/>
              </w:rPr>
            </w:pPr>
            <w:r w:rsidRPr="00392288">
              <w:rPr>
                <w:rFonts w:ascii="UniZgLight" w:hAnsi="UniZgLight"/>
                <w:sz w:val="22"/>
                <w:szCs w:val="22"/>
              </w:rPr>
              <w:t>PRIRODOSLOVNO - MATEMATIČKI  FAKULTET</w:t>
            </w:r>
          </w:p>
          <w:p w14:paraId="497D82ED" w14:textId="77777777" w:rsidR="00560ED1" w:rsidRPr="00392288" w:rsidRDefault="00560ED1" w:rsidP="00FF5A8D">
            <w:pPr>
              <w:pStyle w:val="Header"/>
              <w:jc w:val="right"/>
              <w:rPr>
                <w:rFonts w:ascii="UniZgLight" w:hAnsi="UniZgLight"/>
                <w:sz w:val="22"/>
                <w:szCs w:val="22"/>
              </w:rPr>
            </w:pPr>
          </w:p>
          <w:p w14:paraId="6F1494A3" w14:textId="77777777" w:rsidR="00560ED1" w:rsidRPr="00392288" w:rsidRDefault="00560ED1" w:rsidP="00FF5A8D">
            <w:pPr>
              <w:pStyle w:val="Header"/>
              <w:jc w:val="right"/>
              <w:rPr>
                <w:rFonts w:ascii="UniZgLight" w:hAnsi="UniZgLight"/>
                <w:sz w:val="22"/>
                <w:szCs w:val="22"/>
              </w:rPr>
            </w:pPr>
            <w:r w:rsidRPr="00392288">
              <w:rPr>
                <w:rFonts w:ascii="UniZgLight" w:hAnsi="UniZgLight"/>
                <w:sz w:val="22"/>
                <w:szCs w:val="22"/>
              </w:rPr>
              <w:t>10 000 ZAGREB, Horvatovac 102a</w:t>
            </w:r>
          </w:p>
          <w:p w14:paraId="0397298E" w14:textId="77777777" w:rsidR="00560ED1" w:rsidRPr="00392288" w:rsidRDefault="00560ED1" w:rsidP="00FF5A8D">
            <w:pPr>
              <w:pStyle w:val="Header"/>
              <w:jc w:val="right"/>
              <w:rPr>
                <w:rFonts w:ascii="UniZgLight" w:hAnsi="UniZgLight"/>
                <w:sz w:val="22"/>
                <w:szCs w:val="22"/>
              </w:rPr>
            </w:pPr>
            <w:r w:rsidRPr="00392288">
              <w:rPr>
                <w:rFonts w:ascii="UniZgLight" w:hAnsi="UniZgLight"/>
                <w:sz w:val="22"/>
                <w:szCs w:val="22"/>
              </w:rPr>
              <w:t xml:space="preserve">             </w:t>
            </w:r>
            <w:r w:rsidRPr="00392288">
              <w:rPr>
                <w:rFonts w:ascii="UniZgLight" w:hAnsi="UniZgLight"/>
                <w:sz w:val="22"/>
                <w:szCs w:val="22"/>
              </w:rPr>
              <w:sym w:font="Wingdings" w:char="F028"/>
            </w:r>
            <w:r w:rsidRPr="00392288">
              <w:rPr>
                <w:rFonts w:ascii="UniZgLight" w:hAnsi="UniZgLight"/>
                <w:sz w:val="22"/>
                <w:szCs w:val="22"/>
              </w:rPr>
              <w:t>(01) 46 06 01</w:t>
            </w:r>
            <w:r>
              <w:rPr>
                <w:rFonts w:ascii="UniZgLight" w:hAnsi="UniZgLight"/>
                <w:sz w:val="22"/>
                <w:szCs w:val="22"/>
              </w:rPr>
              <w:t>1</w:t>
            </w:r>
            <w:r w:rsidRPr="00392288">
              <w:rPr>
                <w:rFonts w:ascii="UniZgLight" w:hAnsi="UniZgLight"/>
                <w:sz w:val="22"/>
                <w:szCs w:val="22"/>
              </w:rPr>
              <w:t xml:space="preserve">   fax (01) 46 06 018   e-mail </w:t>
            </w:r>
            <w:hyperlink r:id="rId8" w:history="1">
              <w:r w:rsidRPr="00392288">
                <w:rPr>
                  <w:rStyle w:val="Hyperlink"/>
                  <w:rFonts w:ascii="UniZgLight" w:hAnsi="UniZgLight"/>
                  <w:sz w:val="22"/>
                  <w:szCs w:val="22"/>
                </w:rPr>
                <w:t>dekanat@dekanat.pmf.hr</w:t>
              </w:r>
            </w:hyperlink>
          </w:p>
          <w:p w14:paraId="5921D545" w14:textId="77777777" w:rsidR="00560ED1" w:rsidRPr="00392288" w:rsidRDefault="00560ED1" w:rsidP="00FF5A8D">
            <w:pPr>
              <w:pStyle w:val="Header"/>
              <w:jc w:val="center"/>
              <w:rPr>
                <w:rFonts w:ascii="UniZgLight" w:hAnsi="UniZgLight"/>
                <w:sz w:val="22"/>
                <w:szCs w:val="22"/>
              </w:rPr>
            </w:pPr>
          </w:p>
        </w:tc>
      </w:tr>
    </w:tbl>
    <w:p w14:paraId="482DB92E" w14:textId="7287E9ED" w:rsidR="00560ED1" w:rsidRPr="00392288" w:rsidRDefault="00560ED1" w:rsidP="00560ED1">
      <w:pPr>
        <w:widowControl w:val="0"/>
        <w:jc w:val="both"/>
        <w:rPr>
          <w:rFonts w:ascii="UniZgLight" w:hAnsi="UniZgLight"/>
        </w:rPr>
      </w:pPr>
      <w:r w:rsidRPr="00392288">
        <w:rPr>
          <w:rFonts w:ascii="UniZgLight" w:hAnsi="UniZgLight"/>
        </w:rPr>
        <w:t>_____________________________________________________________________</w:t>
      </w:r>
      <w:r>
        <w:rPr>
          <w:rFonts w:ascii="UniZgLight" w:hAnsi="UniZgLight"/>
        </w:rPr>
        <w:t>______________________</w:t>
      </w:r>
    </w:p>
    <w:p w14:paraId="1D25FEB8" w14:textId="2F6CE4E4" w:rsidR="00560ED1" w:rsidRDefault="00560ED1" w:rsidP="00560ED1">
      <w:pPr>
        <w:jc w:val="both"/>
        <w:rPr>
          <w:rFonts w:ascii="UniZgLight" w:hAnsi="UniZgLight"/>
          <w:caps/>
        </w:rPr>
      </w:pPr>
      <w:r>
        <w:rPr>
          <w:rFonts w:ascii="UniZgLight" w:hAnsi="UniZgLight"/>
          <w:caps/>
        </w:rPr>
        <w:t>Klasa:</w:t>
      </w:r>
      <w:r w:rsidR="00CB285B">
        <w:rPr>
          <w:rFonts w:ascii="UniZgLight" w:hAnsi="UniZgLight"/>
          <w:caps/>
        </w:rPr>
        <w:t xml:space="preserve"> 400-02/2</w:t>
      </w:r>
      <w:r w:rsidR="001351BB">
        <w:rPr>
          <w:rFonts w:ascii="UniZgLight" w:hAnsi="UniZgLight"/>
          <w:caps/>
        </w:rPr>
        <w:t>3</w:t>
      </w:r>
      <w:r w:rsidR="00CB285B">
        <w:rPr>
          <w:rFonts w:ascii="UniZgLight" w:hAnsi="UniZgLight"/>
          <w:caps/>
        </w:rPr>
        <w:t>-01/</w:t>
      </w:r>
    </w:p>
    <w:p w14:paraId="55A99DA0" w14:textId="3412B537" w:rsidR="00560ED1" w:rsidRDefault="00560ED1" w:rsidP="00560ED1">
      <w:pPr>
        <w:jc w:val="both"/>
        <w:rPr>
          <w:rFonts w:ascii="UniZgLight" w:hAnsi="UniZgLight"/>
          <w:caps/>
        </w:rPr>
      </w:pPr>
      <w:r>
        <w:rPr>
          <w:rFonts w:ascii="UniZgLight" w:hAnsi="UniZgLight"/>
          <w:caps/>
        </w:rPr>
        <w:t>Ur. br.</w:t>
      </w:r>
      <w:r w:rsidR="00CB285B">
        <w:rPr>
          <w:rFonts w:ascii="UniZgLight" w:hAnsi="UniZgLight"/>
          <w:caps/>
        </w:rPr>
        <w:t xml:space="preserve"> 251-58-10206-2</w:t>
      </w:r>
      <w:r w:rsidR="00EA7B2B">
        <w:rPr>
          <w:rFonts w:ascii="UniZgLight" w:hAnsi="UniZgLight"/>
          <w:caps/>
        </w:rPr>
        <w:t>3</w:t>
      </w:r>
      <w:r w:rsidR="00CB285B">
        <w:rPr>
          <w:rFonts w:ascii="UniZgLight" w:hAnsi="UniZgLight"/>
          <w:caps/>
        </w:rPr>
        <w:t>-</w:t>
      </w:r>
    </w:p>
    <w:p w14:paraId="6710F996" w14:textId="77777777" w:rsidR="00560ED1" w:rsidRDefault="00560ED1" w:rsidP="00560ED1">
      <w:pPr>
        <w:rPr>
          <w:rFonts w:ascii="UniZgLight" w:hAnsi="UniZgLight"/>
          <w:caps/>
        </w:rPr>
      </w:pPr>
    </w:p>
    <w:p w14:paraId="1143D001" w14:textId="2F903E92" w:rsidR="00560ED1" w:rsidRPr="00016BE5" w:rsidRDefault="00560ED1" w:rsidP="00560ED1">
      <w:pPr>
        <w:rPr>
          <w:rFonts w:ascii="Verdana" w:hAnsi="Verdana"/>
          <w:color w:val="333333"/>
          <w:sz w:val="21"/>
          <w:szCs w:val="21"/>
        </w:rPr>
      </w:pPr>
      <w:r w:rsidRPr="00016BE5">
        <w:rPr>
          <w:rFonts w:ascii="Verdana" w:hAnsi="Verdana"/>
          <w:color w:val="333333"/>
          <w:sz w:val="21"/>
          <w:szCs w:val="21"/>
        </w:rPr>
        <w:t xml:space="preserve">U Zagrebu, </w:t>
      </w:r>
      <w:r w:rsidR="00EA7B2B">
        <w:rPr>
          <w:rFonts w:ascii="Verdana" w:hAnsi="Verdana"/>
          <w:color w:val="333333"/>
          <w:sz w:val="21"/>
          <w:szCs w:val="21"/>
        </w:rPr>
        <w:t>19</w:t>
      </w:r>
      <w:r w:rsidRPr="00016BE5">
        <w:rPr>
          <w:rFonts w:ascii="Verdana" w:hAnsi="Verdana"/>
          <w:color w:val="333333"/>
          <w:sz w:val="21"/>
          <w:szCs w:val="21"/>
        </w:rPr>
        <w:t>.</w:t>
      </w:r>
      <w:r>
        <w:rPr>
          <w:rFonts w:ascii="Verdana" w:hAnsi="Verdana"/>
          <w:color w:val="333333"/>
          <w:sz w:val="21"/>
          <w:szCs w:val="21"/>
        </w:rPr>
        <w:t xml:space="preserve"> </w:t>
      </w:r>
      <w:r w:rsidR="003B5FE9">
        <w:rPr>
          <w:rFonts w:ascii="Verdana" w:hAnsi="Verdana"/>
          <w:color w:val="333333"/>
          <w:sz w:val="21"/>
          <w:szCs w:val="21"/>
        </w:rPr>
        <w:t>1</w:t>
      </w:r>
      <w:r w:rsidR="00EA7B2B">
        <w:rPr>
          <w:rFonts w:ascii="Verdana" w:hAnsi="Verdana"/>
          <w:color w:val="333333"/>
          <w:sz w:val="21"/>
          <w:szCs w:val="21"/>
        </w:rPr>
        <w:t>2</w:t>
      </w:r>
      <w:r w:rsidR="003B5FE9">
        <w:rPr>
          <w:rFonts w:ascii="Verdana" w:hAnsi="Verdana"/>
          <w:color w:val="333333"/>
          <w:sz w:val="21"/>
          <w:szCs w:val="21"/>
        </w:rPr>
        <w:t>.</w:t>
      </w:r>
      <w:r>
        <w:rPr>
          <w:rFonts w:ascii="Verdana" w:hAnsi="Verdana"/>
          <w:color w:val="333333"/>
          <w:sz w:val="21"/>
          <w:szCs w:val="21"/>
        </w:rPr>
        <w:t xml:space="preserve"> </w:t>
      </w:r>
      <w:r w:rsidRPr="00016BE5">
        <w:rPr>
          <w:rFonts w:ascii="Verdana" w:hAnsi="Verdana"/>
          <w:color w:val="333333"/>
          <w:sz w:val="21"/>
          <w:szCs w:val="21"/>
        </w:rPr>
        <w:t>20</w:t>
      </w:r>
      <w:r>
        <w:rPr>
          <w:rFonts w:ascii="Verdana" w:hAnsi="Verdana"/>
          <w:color w:val="333333"/>
          <w:sz w:val="21"/>
          <w:szCs w:val="21"/>
        </w:rPr>
        <w:t>2</w:t>
      </w:r>
      <w:r w:rsidR="001351BB">
        <w:rPr>
          <w:rFonts w:ascii="Verdana" w:hAnsi="Verdana"/>
          <w:color w:val="333333"/>
          <w:sz w:val="21"/>
          <w:szCs w:val="21"/>
        </w:rPr>
        <w:t>3</w:t>
      </w:r>
      <w:r w:rsidRPr="00016BE5">
        <w:rPr>
          <w:rFonts w:ascii="Verdana" w:hAnsi="Verdana"/>
          <w:color w:val="333333"/>
          <w:sz w:val="21"/>
          <w:szCs w:val="21"/>
        </w:rPr>
        <w:t xml:space="preserve">.god. </w:t>
      </w:r>
    </w:p>
    <w:p w14:paraId="718F680A" w14:textId="77777777" w:rsidR="00560ED1" w:rsidRPr="00560ED1" w:rsidRDefault="00560ED1" w:rsidP="00560ED1">
      <w:pPr>
        <w:jc w:val="center"/>
        <w:rPr>
          <w:rFonts w:cstheme="minorHAnsi"/>
          <w:b/>
          <w:bCs/>
          <w:color w:val="333333"/>
          <w:sz w:val="28"/>
          <w:szCs w:val="28"/>
        </w:rPr>
      </w:pPr>
    </w:p>
    <w:p w14:paraId="259731E2" w14:textId="2F1A76B8" w:rsidR="00560ED1" w:rsidRPr="00560ED1" w:rsidRDefault="00560ED1" w:rsidP="00DA6B42">
      <w:pPr>
        <w:jc w:val="both"/>
        <w:rPr>
          <w:rFonts w:cstheme="minorHAnsi"/>
          <w:b/>
          <w:bCs/>
          <w:color w:val="333333"/>
          <w:sz w:val="28"/>
          <w:szCs w:val="28"/>
        </w:rPr>
      </w:pPr>
      <w:r w:rsidRPr="00560ED1">
        <w:rPr>
          <w:rFonts w:cstheme="minorHAnsi"/>
          <w:b/>
          <w:bCs/>
          <w:color w:val="333333"/>
          <w:sz w:val="28"/>
          <w:szCs w:val="28"/>
        </w:rPr>
        <w:t xml:space="preserve"> Obrazloženje financijskog plana za 202</w:t>
      </w:r>
      <w:r w:rsidR="001351BB">
        <w:rPr>
          <w:rFonts w:cstheme="minorHAnsi"/>
          <w:b/>
          <w:bCs/>
          <w:color w:val="333333"/>
          <w:sz w:val="28"/>
          <w:szCs w:val="28"/>
        </w:rPr>
        <w:t>4</w:t>
      </w:r>
      <w:r w:rsidRPr="00560ED1">
        <w:rPr>
          <w:rFonts w:cstheme="minorHAnsi"/>
          <w:b/>
          <w:bCs/>
          <w:color w:val="333333"/>
          <w:sz w:val="28"/>
          <w:szCs w:val="28"/>
        </w:rPr>
        <w:t>. god. s projekcijama za 202</w:t>
      </w:r>
      <w:r w:rsidR="001351BB">
        <w:rPr>
          <w:rFonts w:cstheme="minorHAnsi"/>
          <w:b/>
          <w:bCs/>
          <w:color w:val="333333"/>
          <w:sz w:val="28"/>
          <w:szCs w:val="28"/>
        </w:rPr>
        <w:t>5</w:t>
      </w:r>
      <w:r w:rsidRPr="00560ED1">
        <w:rPr>
          <w:rFonts w:cstheme="minorHAnsi"/>
          <w:b/>
          <w:bCs/>
          <w:color w:val="333333"/>
          <w:sz w:val="28"/>
          <w:szCs w:val="28"/>
        </w:rPr>
        <w:t>. i 202</w:t>
      </w:r>
      <w:r w:rsidR="001351BB">
        <w:rPr>
          <w:rFonts w:cstheme="minorHAnsi"/>
          <w:b/>
          <w:bCs/>
          <w:color w:val="333333"/>
          <w:sz w:val="28"/>
          <w:szCs w:val="28"/>
        </w:rPr>
        <w:t>6</w:t>
      </w:r>
      <w:r w:rsidRPr="00560ED1">
        <w:rPr>
          <w:rFonts w:cstheme="minorHAnsi"/>
          <w:b/>
          <w:bCs/>
          <w:color w:val="333333"/>
          <w:sz w:val="28"/>
          <w:szCs w:val="28"/>
        </w:rPr>
        <w:t xml:space="preserve">. </w:t>
      </w:r>
    </w:p>
    <w:p w14:paraId="34617475" w14:textId="77777777" w:rsidR="00560ED1" w:rsidRDefault="00560ED1" w:rsidP="00DA6B42">
      <w:pPr>
        <w:jc w:val="both"/>
        <w:rPr>
          <w:rFonts w:ascii="Verdana" w:hAnsi="Verdana"/>
          <w:color w:val="333333"/>
          <w:sz w:val="21"/>
          <w:szCs w:val="21"/>
        </w:rPr>
      </w:pPr>
    </w:p>
    <w:p w14:paraId="19BD7FAD" w14:textId="56487B47" w:rsidR="00560ED1" w:rsidRPr="00560ED1" w:rsidRDefault="00560ED1" w:rsidP="00DA6B42">
      <w:pPr>
        <w:jc w:val="both"/>
        <w:rPr>
          <w:rFonts w:cstheme="minorHAnsi"/>
          <w:sz w:val="24"/>
          <w:szCs w:val="24"/>
        </w:rPr>
      </w:pPr>
      <w:r w:rsidRPr="00560ED1">
        <w:rPr>
          <w:rFonts w:cstheme="minorHAnsi"/>
          <w:color w:val="333333"/>
          <w:sz w:val="24"/>
          <w:szCs w:val="24"/>
        </w:rPr>
        <w:t>Prijedlog financijskog plana za 202</w:t>
      </w:r>
      <w:r w:rsidR="001351BB">
        <w:rPr>
          <w:rFonts w:cstheme="minorHAnsi"/>
          <w:color w:val="333333"/>
          <w:sz w:val="24"/>
          <w:szCs w:val="24"/>
        </w:rPr>
        <w:t>4</w:t>
      </w:r>
      <w:r w:rsidRPr="00560ED1">
        <w:rPr>
          <w:rFonts w:cstheme="minorHAnsi"/>
          <w:color w:val="333333"/>
          <w:sz w:val="24"/>
          <w:szCs w:val="24"/>
        </w:rPr>
        <w:t>. god. i projekcije za 202</w:t>
      </w:r>
      <w:r w:rsidR="001351BB">
        <w:rPr>
          <w:rFonts w:cstheme="minorHAnsi"/>
          <w:color w:val="333333"/>
          <w:sz w:val="24"/>
          <w:szCs w:val="24"/>
        </w:rPr>
        <w:t>5</w:t>
      </w:r>
      <w:r w:rsidRPr="00560ED1">
        <w:rPr>
          <w:rFonts w:cstheme="minorHAnsi"/>
          <w:color w:val="333333"/>
          <w:sz w:val="24"/>
          <w:szCs w:val="24"/>
        </w:rPr>
        <w:t>. i 202</w:t>
      </w:r>
      <w:r w:rsidR="001351BB">
        <w:rPr>
          <w:rFonts w:cstheme="minorHAnsi"/>
          <w:color w:val="333333"/>
          <w:sz w:val="24"/>
          <w:szCs w:val="24"/>
        </w:rPr>
        <w:t>6</w:t>
      </w:r>
      <w:r w:rsidRPr="00560ED1">
        <w:rPr>
          <w:rFonts w:cstheme="minorHAnsi"/>
          <w:color w:val="333333"/>
          <w:sz w:val="24"/>
          <w:szCs w:val="24"/>
        </w:rPr>
        <w:t xml:space="preserve">. god. izrađen je u skladu s Uputom Ministarstva znanosti i </w:t>
      </w:r>
      <w:r w:rsidRPr="00560ED1">
        <w:rPr>
          <w:rFonts w:cstheme="minorHAnsi"/>
          <w:sz w:val="24"/>
          <w:szCs w:val="24"/>
        </w:rPr>
        <w:t>obrazovanja (Klasa: 400-0</w:t>
      </w:r>
      <w:r w:rsidR="00B31A99">
        <w:rPr>
          <w:rFonts w:cstheme="minorHAnsi"/>
          <w:sz w:val="24"/>
          <w:szCs w:val="24"/>
        </w:rPr>
        <w:t>6</w:t>
      </w:r>
      <w:r w:rsidRPr="00560ED1">
        <w:rPr>
          <w:rFonts w:cstheme="minorHAnsi"/>
          <w:sz w:val="24"/>
          <w:szCs w:val="24"/>
        </w:rPr>
        <w:t>/2</w:t>
      </w:r>
      <w:r w:rsidR="001351BB">
        <w:rPr>
          <w:rFonts w:cstheme="minorHAnsi"/>
          <w:sz w:val="24"/>
          <w:szCs w:val="24"/>
        </w:rPr>
        <w:t>3</w:t>
      </w:r>
      <w:r w:rsidRPr="00560ED1">
        <w:rPr>
          <w:rFonts w:cstheme="minorHAnsi"/>
          <w:sz w:val="24"/>
          <w:szCs w:val="24"/>
        </w:rPr>
        <w:t>-01/000</w:t>
      </w:r>
      <w:r w:rsidR="001351BB">
        <w:rPr>
          <w:rFonts w:cstheme="minorHAnsi"/>
          <w:sz w:val="24"/>
          <w:szCs w:val="24"/>
        </w:rPr>
        <w:t>35</w:t>
      </w:r>
      <w:r w:rsidRPr="00560ED1">
        <w:rPr>
          <w:rFonts w:cstheme="minorHAnsi"/>
          <w:sz w:val="24"/>
          <w:szCs w:val="24"/>
        </w:rPr>
        <w:t>, Ur. Br. 533-02-2</w:t>
      </w:r>
      <w:r w:rsidR="001351BB">
        <w:rPr>
          <w:rFonts w:cstheme="minorHAnsi"/>
          <w:sz w:val="24"/>
          <w:szCs w:val="24"/>
        </w:rPr>
        <w:t>3</w:t>
      </w:r>
      <w:r w:rsidRPr="00560ED1">
        <w:rPr>
          <w:rFonts w:cstheme="minorHAnsi"/>
          <w:sz w:val="24"/>
          <w:szCs w:val="24"/>
        </w:rPr>
        <w:t>-000</w:t>
      </w:r>
      <w:r w:rsidR="001351BB">
        <w:rPr>
          <w:rFonts w:cstheme="minorHAnsi"/>
          <w:sz w:val="24"/>
          <w:szCs w:val="24"/>
        </w:rPr>
        <w:t>3</w:t>
      </w:r>
      <w:r w:rsidRPr="00560ED1">
        <w:rPr>
          <w:rFonts w:cstheme="minorHAnsi"/>
          <w:sz w:val="24"/>
          <w:szCs w:val="24"/>
        </w:rPr>
        <w:t xml:space="preserve">) od </w:t>
      </w:r>
      <w:r w:rsidR="001351BB">
        <w:rPr>
          <w:rFonts w:cstheme="minorHAnsi"/>
          <w:sz w:val="24"/>
          <w:szCs w:val="24"/>
        </w:rPr>
        <w:t>25</w:t>
      </w:r>
      <w:r w:rsidRPr="00560ED1">
        <w:rPr>
          <w:rFonts w:cstheme="minorHAnsi"/>
          <w:sz w:val="24"/>
          <w:szCs w:val="24"/>
        </w:rPr>
        <w:t>. rujna 202</w:t>
      </w:r>
      <w:r w:rsidR="001351BB">
        <w:rPr>
          <w:rFonts w:cstheme="minorHAnsi"/>
          <w:sz w:val="24"/>
          <w:szCs w:val="24"/>
        </w:rPr>
        <w:t>3</w:t>
      </w:r>
      <w:r w:rsidRPr="00560ED1">
        <w:rPr>
          <w:rFonts w:cstheme="minorHAnsi"/>
          <w:sz w:val="24"/>
          <w:szCs w:val="24"/>
        </w:rPr>
        <w:t>. god.</w:t>
      </w:r>
      <w:r w:rsidR="003B5FE9">
        <w:rPr>
          <w:rFonts w:cstheme="minorHAnsi"/>
          <w:sz w:val="24"/>
          <w:szCs w:val="24"/>
        </w:rPr>
        <w:t xml:space="preserve"> </w:t>
      </w:r>
      <w:r w:rsidR="00EA7B2B">
        <w:rPr>
          <w:rFonts w:cstheme="minorHAnsi"/>
          <w:sz w:val="24"/>
          <w:szCs w:val="24"/>
        </w:rPr>
        <w:t>te naknadnom uputom Ministarstva znanosti i obrazovanja o izmjeni i potrebi usklade financijskih planova (Klasa: 400-06/23-01/00035, Ur. br. 533-02-23-0004) od 4. prosinaca 2023.god.</w:t>
      </w:r>
    </w:p>
    <w:p w14:paraId="15D7DB27" w14:textId="69FB8E5A" w:rsidR="00560ED1" w:rsidRDefault="00560ED1" w:rsidP="00DA6B42">
      <w:pPr>
        <w:jc w:val="both"/>
        <w:rPr>
          <w:rFonts w:cstheme="minorHAnsi"/>
          <w:color w:val="333333"/>
          <w:sz w:val="24"/>
          <w:szCs w:val="24"/>
        </w:rPr>
      </w:pPr>
      <w:r w:rsidRPr="00560ED1">
        <w:rPr>
          <w:rFonts w:cstheme="minorHAnsi"/>
          <w:color w:val="333333"/>
          <w:sz w:val="24"/>
          <w:szCs w:val="24"/>
        </w:rPr>
        <w:t xml:space="preserve">Prema Statutu, fakultet obavlja sljedeće djelatnosti: </w:t>
      </w:r>
    </w:p>
    <w:p w14:paraId="4FDCC7C1" w14:textId="77777777" w:rsidR="00325DE1" w:rsidRPr="007E6B4A" w:rsidRDefault="00325DE1" w:rsidP="00DA6B42">
      <w:pPr>
        <w:pStyle w:val="xmsonormal"/>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Djelatnosti Fakulteta su:</w:t>
      </w:r>
    </w:p>
    <w:p w14:paraId="63E81C31"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ustrojavanje i izvođenje sveučilišnih studija matematike, fizike, kemije, biologije, geologije, geografije, geofizike, informatike i računarstva,</w:t>
      </w:r>
    </w:p>
    <w:p w14:paraId="5A8E5EEA"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znanstveno-istraživačka djelatnost,</w:t>
      </w:r>
    </w:p>
    <w:p w14:paraId="22DC0C0E"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izrada znanstvenih i stručnih projekata, tehničke dokumentacije, analiza, atesta i ekspertiza,</w:t>
      </w:r>
    </w:p>
    <w:p w14:paraId="6EC72EC7"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stručni poslovi zaštite okoliša i prirode,</w:t>
      </w:r>
    </w:p>
    <w:p w14:paraId="6A5A833F"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stručna ekspertiza, standardizacija mjernih postupaka, mjerenja i kontrola kvalitete,</w:t>
      </w:r>
    </w:p>
    <w:p w14:paraId="2D6A0AF0"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knjižnična djelatnost za znanstvene i nastavne potrebe matematike, fizike, kemije, biologije, geologije, geografije, geofizike i računarstva,</w:t>
      </w:r>
    </w:p>
    <w:p w14:paraId="5832671D"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ustrojavanje i provođenje različitih oblika stalnog ili povremenog usavršavanja studenata, odnosno polaznika,</w:t>
      </w:r>
    </w:p>
    <w:p w14:paraId="20AA99C8"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ustrojavanje i provođenje različitih oblika stalnog ili povremenog usavršavanja učitelja i nastavnika osnovnih i srednjih škola,</w:t>
      </w:r>
    </w:p>
    <w:p w14:paraId="4BDA43C1"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uzgoj laboratorijskih te držanje pokusnih i divljih životinja, biljaka i gljiva, biljnih i životinjskih staničnih kultura te kultura mikroorganizama,</w:t>
      </w:r>
    </w:p>
    <w:p w14:paraId="0F662280"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obavljanje pokusa nad životinjama u svrhu nastavnog i znanstvenoistraživačkog rada,</w:t>
      </w:r>
    </w:p>
    <w:p w14:paraId="5C4644BE"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lastRenderedPageBreak/>
        <w:t>organiziranje i održavanje znanstvenih i stručnih skupova,</w:t>
      </w:r>
    </w:p>
    <w:p w14:paraId="0EC8085D"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organiziranje i održavanje radionica, stručne prakse, simpozija i seminara koji su u službi osnovne djelatnosti Fakulteta,</w:t>
      </w:r>
    </w:p>
    <w:p w14:paraId="2AF59B5F"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izdavačka i informatička djelatnost za potrebe nastave te znanstvenog i stručnog rada,</w:t>
      </w:r>
    </w:p>
    <w:p w14:paraId="2B565F35"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prodaja udžbenika i ostalih materijala potrebnih za obavljanje djelatnosti Fakulteta,</w:t>
      </w:r>
    </w:p>
    <w:p w14:paraId="2B8F49F9"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obavljanje vještačenja za odgovarajuće djelatnosti iz matematike, fizike, kemije, biologije, geologije, geografije, geofizike i računarstva,</w:t>
      </w:r>
    </w:p>
    <w:p w14:paraId="3315A781"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pružanje usluga trgovačkim društvima i drugim organizacijama kada to služi razvoju osnovne djelatnosti i racionalnijem korištenju prostora i opreme,</w:t>
      </w:r>
    </w:p>
    <w:p w14:paraId="60C7D5BB"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obrazovanje odraslih i cjeloživotno obrazovanje iz matematike, fizike, kemije, biologije, geologije, geografije, geofizike i računarstva,</w:t>
      </w:r>
    </w:p>
    <w:p w14:paraId="6D5F46EA"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izvođenje stručnih studija i poduka iz matematike, fizike, kemije, biologije, geologije, geografije, geofizike i računarstva,</w:t>
      </w:r>
    </w:p>
    <w:p w14:paraId="7B3072FE"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prodaja bilja nastalog u obavljanju djelatnosti,</w:t>
      </w:r>
    </w:p>
    <w:p w14:paraId="0CB8815F"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fotografska i fotogrametrijska djelatnost,</w:t>
      </w:r>
    </w:p>
    <w:p w14:paraId="1D47E02C"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snimanje iz zraka,</w:t>
      </w:r>
    </w:p>
    <w:p w14:paraId="696FB679" w14:textId="77777777" w:rsidR="00325DE1" w:rsidRPr="007E6B4A" w:rsidRDefault="00325DE1" w:rsidP="00DA6B42">
      <w:pPr>
        <w:pStyle w:val="xmsolistparagraph"/>
        <w:numPr>
          <w:ilvl w:val="0"/>
          <w:numId w:val="25"/>
        </w:numPr>
        <w:shd w:val="clear" w:color="auto" w:fill="FFFFFF"/>
        <w:spacing w:before="0" w:beforeAutospacing="0" w:after="0" w:afterAutospacing="0"/>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usluge informacijskog društva,</w:t>
      </w:r>
    </w:p>
    <w:p w14:paraId="7DB82C86" w14:textId="77777777" w:rsidR="00325DE1" w:rsidRPr="007E6B4A" w:rsidRDefault="00325DE1" w:rsidP="00DA6B42">
      <w:pPr>
        <w:pStyle w:val="xmsolistparagraph"/>
        <w:numPr>
          <w:ilvl w:val="0"/>
          <w:numId w:val="25"/>
        </w:numPr>
        <w:shd w:val="clear" w:color="auto" w:fill="FFFFFF"/>
        <w:spacing w:before="0" w:beforeAutospacing="0" w:after="0" w:afterAutospacing="0" w:line="253" w:lineRule="atLeast"/>
        <w:jc w:val="both"/>
        <w:rPr>
          <w:rFonts w:asciiTheme="minorHAnsi" w:eastAsiaTheme="minorHAnsi" w:hAnsiTheme="minorHAnsi" w:cstheme="minorHAnsi"/>
          <w:color w:val="333333"/>
          <w:lang w:eastAsia="en-US"/>
        </w:rPr>
      </w:pPr>
      <w:r w:rsidRPr="007E6B4A">
        <w:rPr>
          <w:rFonts w:asciiTheme="minorHAnsi" w:eastAsiaTheme="minorHAnsi" w:hAnsiTheme="minorHAnsi" w:cstheme="minorHAnsi"/>
          <w:color w:val="333333"/>
          <w:lang w:eastAsia="en-US"/>
        </w:rPr>
        <w:t>trgovina na malo preko pošte ili interneta.</w:t>
      </w:r>
    </w:p>
    <w:p w14:paraId="686FCC6D" w14:textId="77777777" w:rsidR="00560ED1" w:rsidRPr="00560ED1" w:rsidRDefault="00560ED1" w:rsidP="00DA6B42">
      <w:pPr>
        <w:contextualSpacing/>
        <w:jc w:val="both"/>
        <w:rPr>
          <w:rFonts w:cstheme="minorHAnsi"/>
          <w:color w:val="333333"/>
          <w:sz w:val="24"/>
          <w:szCs w:val="24"/>
        </w:rPr>
      </w:pPr>
    </w:p>
    <w:p w14:paraId="24025494" w14:textId="358FE288" w:rsidR="00560ED1" w:rsidRPr="00560ED1" w:rsidRDefault="00560ED1" w:rsidP="00DA6B42">
      <w:pPr>
        <w:contextualSpacing/>
        <w:jc w:val="both"/>
        <w:rPr>
          <w:rFonts w:cstheme="minorHAnsi"/>
          <w:color w:val="333333"/>
          <w:sz w:val="24"/>
          <w:szCs w:val="24"/>
        </w:rPr>
      </w:pPr>
      <w:r w:rsidRPr="00560ED1">
        <w:rPr>
          <w:rFonts w:cstheme="minorHAnsi"/>
          <w:color w:val="333333"/>
          <w:sz w:val="24"/>
          <w:szCs w:val="24"/>
        </w:rPr>
        <w:t>Fakultet može obavljati i druge djelatnosti ako iste služe osnovnoj djelatnosti i pridonose potpunijem iskorištenju prostornih i kadrovskih kapaciteta Fakulteta.</w:t>
      </w:r>
    </w:p>
    <w:p w14:paraId="78964E02" w14:textId="01CD852B" w:rsidR="00FB374C" w:rsidRPr="00F32C01" w:rsidRDefault="00560ED1" w:rsidP="00DA6B42">
      <w:pPr>
        <w:spacing w:before="274" w:after="274"/>
        <w:jc w:val="both"/>
        <w:rPr>
          <w:rFonts w:cstheme="minorHAnsi"/>
          <w:color w:val="333333"/>
          <w:sz w:val="24"/>
          <w:szCs w:val="24"/>
        </w:rPr>
      </w:pPr>
      <w:r w:rsidRPr="00560ED1">
        <w:rPr>
          <w:rFonts w:cstheme="minorHAnsi"/>
          <w:color w:val="333333"/>
          <w:sz w:val="24"/>
          <w:szCs w:val="24"/>
        </w:rPr>
        <w:t xml:space="preserve">Po broju svojih studenata i znanstveno-nastavnog osoblja Prirodoslovno-matematički fakultet </w:t>
      </w:r>
      <w:r w:rsidR="009A4C57">
        <w:rPr>
          <w:rFonts w:cstheme="minorHAnsi"/>
          <w:color w:val="333333"/>
          <w:sz w:val="24"/>
          <w:szCs w:val="24"/>
        </w:rPr>
        <w:t xml:space="preserve">Sveučilišta u Zagrebu </w:t>
      </w:r>
      <w:r w:rsidRPr="00560ED1">
        <w:rPr>
          <w:rFonts w:cstheme="minorHAnsi"/>
          <w:color w:val="333333"/>
          <w:sz w:val="24"/>
          <w:szCs w:val="24"/>
        </w:rPr>
        <w:t xml:space="preserve">nalazi se među najvećim sastavnicama Sveučilišta u Zagrebu te znanstveno-nastavna sredina koja je jedna od najznačajnijih edukatora znanstvenog kadra u hrvatskom prirodoslovlju i matematici, srednjoškolskih nastavnika tih predmeta, a istovremeno i jedan od vodećih centara istraživanja u tim znanstvenim područjima. Na sedam odsjeka PMF-a (Matematički, Fizički, Kemijski, Biološki, Geološki, Geografski i Geofizički), studira oko </w:t>
      </w:r>
      <w:r w:rsidR="00B31A99" w:rsidRPr="00DA6B42">
        <w:rPr>
          <w:rFonts w:cstheme="minorHAnsi"/>
          <w:sz w:val="24"/>
          <w:szCs w:val="24"/>
        </w:rPr>
        <w:t>4</w:t>
      </w:r>
      <w:r w:rsidR="00DA6B42" w:rsidRPr="00DA6B42">
        <w:rPr>
          <w:rFonts w:cstheme="minorHAnsi"/>
          <w:sz w:val="24"/>
          <w:szCs w:val="24"/>
        </w:rPr>
        <w:t>3</w:t>
      </w:r>
      <w:r w:rsidRPr="00DA6B42">
        <w:rPr>
          <w:rFonts w:cstheme="minorHAnsi"/>
          <w:sz w:val="24"/>
          <w:szCs w:val="24"/>
        </w:rPr>
        <w:t xml:space="preserve">00 studenata </w:t>
      </w:r>
      <w:r w:rsidRPr="00560ED1">
        <w:rPr>
          <w:rFonts w:cstheme="minorHAnsi"/>
          <w:color w:val="333333"/>
          <w:sz w:val="24"/>
          <w:szCs w:val="24"/>
        </w:rPr>
        <w:t xml:space="preserve">na preddiplomskom, integriranom preddiplomskom i diplomskom, te diplomskom studiju na </w:t>
      </w:r>
      <w:r w:rsidRPr="00DA6B42">
        <w:rPr>
          <w:rFonts w:cstheme="minorHAnsi"/>
          <w:sz w:val="24"/>
          <w:szCs w:val="24"/>
        </w:rPr>
        <w:t>3</w:t>
      </w:r>
      <w:r w:rsidR="00DA6B42" w:rsidRPr="00DA6B42">
        <w:rPr>
          <w:rFonts w:cstheme="minorHAnsi"/>
          <w:sz w:val="24"/>
          <w:szCs w:val="24"/>
        </w:rPr>
        <w:t>6</w:t>
      </w:r>
      <w:r w:rsidRPr="00DA6B42">
        <w:rPr>
          <w:rFonts w:cstheme="minorHAnsi"/>
          <w:sz w:val="24"/>
          <w:szCs w:val="24"/>
        </w:rPr>
        <w:t xml:space="preserve"> studijskih programa, te oko </w:t>
      </w:r>
      <w:r w:rsidR="00DA6B42">
        <w:rPr>
          <w:rFonts w:cstheme="minorHAnsi"/>
          <w:sz w:val="24"/>
          <w:szCs w:val="24"/>
        </w:rPr>
        <w:t>8</w:t>
      </w:r>
      <w:r w:rsidRPr="00DA6B42">
        <w:rPr>
          <w:rFonts w:cstheme="minorHAnsi"/>
          <w:sz w:val="24"/>
          <w:szCs w:val="24"/>
        </w:rPr>
        <w:t xml:space="preserve">00 studenata na doktorskom studiju. </w:t>
      </w:r>
      <w:r w:rsidRPr="00560ED1">
        <w:rPr>
          <w:rFonts w:cstheme="minorHAnsi"/>
          <w:color w:val="333333"/>
          <w:sz w:val="24"/>
          <w:szCs w:val="24"/>
        </w:rPr>
        <w:t>Studenti po završetku preddiplomskih studija najvećim dijelom nastavljaju svoje obrazovanje na diplomskim, a potom i na doktorskim studijima. Razvoj hrvatske znanosti je nezamisliv bez stotinjak doktora znanosti koliko ih svake godine doktorira na PMF-u.</w:t>
      </w:r>
    </w:p>
    <w:p w14:paraId="41349827" w14:textId="4A56A21F" w:rsidR="00560ED1" w:rsidRPr="00560ED1" w:rsidRDefault="00560ED1" w:rsidP="00DA6B42">
      <w:pPr>
        <w:suppressAutoHyphens/>
        <w:autoSpaceDN w:val="0"/>
        <w:spacing w:line="254" w:lineRule="auto"/>
        <w:jc w:val="both"/>
        <w:rPr>
          <w:rFonts w:ascii="Calibri" w:eastAsia="Calibri" w:hAnsi="Calibri"/>
          <w:b/>
          <w:bCs/>
          <w:sz w:val="28"/>
          <w:szCs w:val="28"/>
          <w:lang w:val="en-US"/>
        </w:rPr>
      </w:pPr>
      <w:r w:rsidRPr="00560ED1">
        <w:rPr>
          <w:rFonts w:ascii="Calibri" w:eastAsia="Calibri" w:hAnsi="Calibri"/>
          <w:b/>
          <w:bCs/>
          <w:sz w:val="28"/>
          <w:szCs w:val="28"/>
          <w:lang w:val="en-US"/>
        </w:rPr>
        <w:t xml:space="preserve">A621001 </w:t>
      </w:r>
      <w:proofErr w:type="spellStart"/>
      <w:r w:rsidRPr="00560ED1">
        <w:rPr>
          <w:rFonts w:ascii="Calibri" w:eastAsia="Calibri" w:hAnsi="Calibri"/>
          <w:b/>
          <w:bCs/>
          <w:sz w:val="28"/>
          <w:szCs w:val="28"/>
          <w:lang w:val="en-US"/>
        </w:rPr>
        <w:t>Redovna</w:t>
      </w:r>
      <w:proofErr w:type="spellEnd"/>
      <w:r w:rsidRPr="00560ED1">
        <w:rPr>
          <w:rFonts w:ascii="Calibri" w:eastAsia="Calibri" w:hAnsi="Calibri"/>
          <w:b/>
          <w:bCs/>
          <w:sz w:val="28"/>
          <w:szCs w:val="28"/>
          <w:lang w:val="en-US"/>
        </w:rPr>
        <w:t xml:space="preserve"> </w:t>
      </w:r>
      <w:proofErr w:type="spellStart"/>
      <w:r w:rsidRPr="00560ED1">
        <w:rPr>
          <w:rFonts w:ascii="Calibri" w:eastAsia="Calibri" w:hAnsi="Calibri"/>
          <w:b/>
          <w:bCs/>
          <w:sz w:val="28"/>
          <w:szCs w:val="28"/>
          <w:lang w:val="en-US"/>
        </w:rPr>
        <w:t>djelatnost</w:t>
      </w:r>
      <w:proofErr w:type="spellEnd"/>
      <w:r w:rsidRPr="00560ED1">
        <w:rPr>
          <w:rFonts w:ascii="Calibri" w:eastAsia="Calibri" w:hAnsi="Calibri"/>
          <w:b/>
          <w:bCs/>
          <w:sz w:val="28"/>
          <w:szCs w:val="28"/>
          <w:lang w:val="en-US"/>
        </w:rPr>
        <w:t xml:space="preserve"> </w:t>
      </w:r>
      <w:proofErr w:type="spellStart"/>
      <w:r w:rsidRPr="00560ED1">
        <w:rPr>
          <w:rFonts w:ascii="Calibri" w:eastAsia="Calibri" w:hAnsi="Calibri"/>
          <w:b/>
          <w:bCs/>
          <w:sz w:val="28"/>
          <w:szCs w:val="28"/>
          <w:lang w:val="en-US"/>
        </w:rPr>
        <w:t>Prirodoslovno-matematičkog</w:t>
      </w:r>
      <w:proofErr w:type="spellEnd"/>
      <w:r w:rsidRPr="00560ED1">
        <w:rPr>
          <w:rFonts w:ascii="Calibri" w:eastAsia="Calibri" w:hAnsi="Calibri"/>
          <w:b/>
          <w:bCs/>
          <w:sz w:val="28"/>
          <w:szCs w:val="28"/>
          <w:lang w:val="en-US"/>
        </w:rPr>
        <w:t xml:space="preserve"> </w:t>
      </w:r>
      <w:proofErr w:type="spellStart"/>
      <w:r w:rsidRPr="00560ED1">
        <w:rPr>
          <w:rFonts w:ascii="Calibri" w:eastAsia="Calibri" w:hAnsi="Calibri"/>
          <w:b/>
          <w:bCs/>
          <w:sz w:val="28"/>
          <w:szCs w:val="28"/>
          <w:lang w:val="en-US"/>
        </w:rPr>
        <w:t>fakulteta</w:t>
      </w:r>
      <w:proofErr w:type="spellEnd"/>
      <w:r w:rsidRPr="00560ED1">
        <w:rPr>
          <w:rFonts w:ascii="Calibri" w:eastAsia="Calibri" w:hAnsi="Calibri"/>
          <w:b/>
          <w:bCs/>
          <w:sz w:val="28"/>
          <w:szCs w:val="28"/>
          <w:lang w:val="en-US"/>
        </w:rPr>
        <w:t xml:space="preserve"> </w:t>
      </w:r>
      <w:proofErr w:type="spellStart"/>
      <w:r w:rsidRPr="00560ED1">
        <w:rPr>
          <w:rFonts w:ascii="Calibri" w:eastAsia="Calibri" w:hAnsi="Calibri"/>
          <w:b/>
          <w:bCs/>
          <w:sz w:val="28"/>
          <w:szCs w:val="28"/>
          <w:lang w:val="en-US"/>
        </w:rPr>
        <w:t>Sveučilišta</w:t>
      </w:r>
      <w:proofErr w:type="spellEnd"/>
      <w:r w:rsidRPr="00560ED1">
        <w:rPr>
          <w:rFonts w:ascii="Calibri" w:eastAsia="Calibri" w:hAnsi="Calibri"/>
          <w:b/>
          <w:bCs/>
          <w:sz w:val="28"/>
          <w:szCs w:val="28"/>
          <w:lang w:val="en-US"/>
        </w:rPr>
        <w:t xml:space="preserve"> u </w:t>
      </w:r>
      <w:proofErr w:type="spellStart"/>
      <w:r w:rsidRPr="00560ED1">
        <w:rPr>
          <w:rFonts w:ascii="Calibri" w:eastAsia="Calibri" w:hAnsi="Calibri"/>
          <w:b/>
          <w:bCs/>
          <w:sz w:val="28"/>
          <w:szCs w:val="28"/>
          <w:lang w:val="en-US"/>
        </w:rPr>
        <w:t>Zagrebu</w:t>
      </w:r>
      <w:proofErr w:type="spellEnd"/>
    </w:p>
    <w:p w14:paraId="19BDEE48" w14:textId="77777777" w:rsidR="00560ED1" w:rsidRDefault="00560ED1" w:rsidP="00DA6B42">
      <w:pPr>
        <w:suppressAutoHyphens/>
        <w:autoSpaceDN w:val="0"/>
        <w:spacing w:line="254" w:lineRule="auto"/>
        <w:jc w:val="both"/>
        <w:rPr>
          <w:rFonts w:eastAsia="Calibri" w:cstheme="minorHAnsi"/>
          <w:sz w:val="24"/>
          <w:szCs w:val="24"/>
          <w:lang w:val="en-US"/>
        </w:rPr>
      </w:pPr>
      <w:proofErr w:type="spellStart"/>
      <w:r w:rsidRPr="00560ED1">
        <w:rPr>
          <w:rFonts w:eastAsia="Calibri" w:cstheme="minorHAnsi"/>
          <w:sz w:val="24"/>
          <w:szCs w:val="24"/>
          <w:lang w:val="en-US"/>
        </w:rPr>
        <w:t>Zakonske</w:t>
      </w:r>
      <w:proofErr w:type="spellEnd"/>
      <w:r w:rsidRPr="00560ED1">
        <w:rPr>
          <w:rFonts w:eastAsia="Calibri" w:cstheme="minorHAnsi"/>
          <w:sz w:val="24"/>
          <w:szCs w:val="24"/>
          <w:lang w:val="en-US"/>
        </w:rPr>
        <w:t xml:space="preserve"> </w:t>
      </w:r>
      <w:proofErr w:type="spellStart"/>
      <w:r w:rsidRPr="00560ED1">
        <w:rPr>
          <w:rFonts w:eastAsia="Calibri" w:cstheme="minorHAnsi"/>
          <w:sz w:val="24"/>
          <w:szCs w:val="24"/>
          <w:lang w:val="en-US"/>
        </w:rPr>
        <w:t>i</w:t>
      </w:r>
      <w:proofErr w:type="spellEnd"/>
      <w:r w:rsidRPr="00560ED1">
        <w:rPr>
          <w:rFonts w:eastAsia="Calibri" w:cstheme="minorHAnsi"/>
          <w:sz w:val="24"/>
          <w:szCs w:val="24"/>
          <w:lang w:val="en-US"/>
        </w:rPr>
        <w:t xml:space="preserve"> </w:t>
      </w:r>
      <w:proofErr w:type="spellStart"/>
      <w:r w:rsidRPr="00560ED1">
        <w:rPr>
          <w:rFonts w:eastAsia="Calibri" w:cstheme="minorHAnsi"/>
          <w:sz w:val="24"/>
          <w:szCs w:val="24"/>
          <w:lang w:val="en-US"/>
        </w:rPr>
        <w:t>druge</w:t>
      </w:r>
      <w:proofErr w:type="spellEnd"/>
      <w:r w:rsidRPr="00560ED1">
        <w:rPr>
          <w:rFonts w:eastAsia="Calibri" w:cstheme="minorHAnsi"/>
          <w:sz w:val="24"/>
          <w:szCs w:val="24"/>
          <w:lang w:val="en-US"/>
        </w:rPr>
        <w:t xml:space="preserve"> </w:t>
      </w:r>
      <w:proofErr w:type="spellStart"/>
      <w:r w:rsidRPr="00560ED1">
        <w:rPr>
          <w:rFonts w:eastAsia="Calibri" w:cstheme="minorHAnsi"/>
          <w:sz w:val="24"/>
          <w:szCs w:val="24"/>
          <w:lang w:val="en-US"/>
        </w:rPr>
        <w:t>pravne</w:t>
      </w:r>
      <w:proofErr w:type="spellEnd"/>
      <w:r w:rsidRPr="00560ED1">
        <w:rPr>
          <w:rFonts w:eastAsia="Calibri" w:cstheme="minorHAnsi"/>
          <w:sz w:val="24"/>
          <w:szCs w:val="24"/>
          <w:lang w:val="en-US"/>
        </w:rPr>
        <w:t xml:space="preserve"> </w:t>
      </w:r>
      <w:proofErr w:type="spellStart"/>
      <w:r w:rsidRPr="00560ED1">
        <w:rPr>
          <w:rFonts w:eastAsia="Calibri" w:cstheme="minorHAnsi"/>
          <w:sz w:val="24"/>
          <w:szCs w:val="24"/>
          <w:lang w:val="en-US"/>
        </w:rPr>
        <w:t>osnove</w:t>
      </w:r>
      <w:proofErr w:type="spellEnd"/>
      <w:r w:rsidRPr="00560ED1">
        <w:rPr>
          <w:rFonts w:eastAsia="Calibri" w:cstheme="minorHAnsi"/>
          <w:sz w:val="24"/>
          <w:szCs w:val="24"/>
          <w:lang w:val="en-US"/>
        </w:rPr>
        <w:t>:</w:t>
      </w:r>
    </w:p>
    <w:p w14:paraId="6B9C36FD" w14:textId="4E7D23D6" w:rsidR="00325DE1" w:rsidRPr="00F32C01" w:rsidRDefault="00325DE1" w:rsidP="00DA6B42">
      <w:pPr>
        <w:numPr>
          <w:ilvl w:val="0"/>
          <w:numId w:val="16"/>
        </w:numPr>
        <w:spacing w:before="274" w:beforeAutospacing="1" w:after="274" w:afterAutospacing="1" w:line="240" w:lineRule="auto"/>
        <w:jc w:val="both"/>
        <w:rPr>
          <w:rFonts w:cstheme="minorHAnsi"/>
          <w:sz w:val="24"/>
          <w:szCs w:val="24"/>
        </w:rPr>
      </w:pPr>
      <w:bookmarkStart w:id="0" w:name="_Hlk115334710"/>
      <w:r w:rsidRPr="007E6B4A">
        <w:rPr>
          <w:rFonts w:cstheme="minorHAnsi"/>
          <w:sz w:val="24"/>
          <w:szCs w:val="24"/>
        </w:rPr>
        <w:t xml:space="preserve">Zakon o znanstvenoj djelatnosti i visokom obrazovanju (NN br. 123/2003, 198/2003, 105/2004, 174/2004, 2/2007, 46/2007, 45/2009, 45/2009, 63/2011, 94/2013, 139/2013, 101/2014, 60/2015, 131/2017, 96/2018, 119/2022) </w:t>
      </w:r>
      <w:bookmarkEnd w:id="0"/>
    </w:p>
    <w:p w14:paraId="70E05636" w14:textId="1466D07A" w:rsidR="00560ED1" w:rsidRPr="00886E2B" w:rsidRDefault="00560ED1" w:rsidP="00DA6B42">
      <w:pPr>
        <w:numPr>
          <w:ilvl w:val="0"/>
          <w:numId w:val="16"/>
        </w:numPr>
        <w:suppressAutoHyphens/>
        <w:autoSpaceDN w:val="0"/>
        <w:spacing w:line="254" w:lineRule="auto"/>
        <w:contextualSpacing/>
        <w:jc w:val="both"/>
        <w:rPr>
          <w:rFonts w:eastAsia="Calibri" w:cstheme="minorHAnsi"/>
          <w:sz w:val="24"/>
          <w:szCs w:val="24"/>
          <w:lang w:val="en-US"/>
        </w:rPr>
      </w:pPr>
      <w:r w:rsidRPr="00886E2B">
        <w:rPr>
          <w:rFonts w:cstheme="minorHAnsi"/>
          <w:sz w:val="24"/>
          <w:szCs w:val="24"/>
        </w:rPr>
        <w:t>Zakon o ustanovama (NN br. 76/93</w:t>
      </w:r>
      <w:r w:rsidR="00D716CA" w:rsidRPr="00886E2B">
        <w:rPr>
          <w:rFonts w:cstheme="minorHAnsi"/>
          <w:sz w:val="24"/>
          <w:szCs w:val="24"/>
        </w:rPr>
        <w:t xml:space="preserve">, </w:t>
      </w:r>
      <w:r w:rsidRPr="00886E2B">
        <w:rPr>
          <w:rFonts w:cstheme="minorHAnsi"/>
          <w:sz w:val="24"/>
          <w:szCs w:val="24"/>
        </w:rPr>
        <w:t>29/97</w:t>
      </w:r>
      <w:r w:rsidR="00D716CA" w:rsidRPr="00886E2B">
        <w:rPr>
          <w:rFonts w:cstheme="minorHAnsi"/>
          <w:sz w:val="24"/>
          <w:szCs w:val="24"/>
        </w:rPr>
        <w:t xml:space="preserve">, </w:t>
      </w:r>
      <w:r w:rsidRPr="00886E2B">
        <w:rPr>
          <w:rFonts w:cstheme="minorHAnsi"/>
          <w:sz w:val="24"/>
          <w:szCs w:val="24"/>
        </w:rPr>
        <w:t>47/99</w:t>
      </w:r>
      <w:r w:rsidR="00D716CA" w:rsidRPr="00886E2B">
        <w:rPr>
          <w:rFonts w:cstheme="minorHAnsi"/>
          <w:sz w:val="24"/>
          <w:szCs w:val="24"/>
        </w:rPr>
        <w:t xml:space="preserve">, </w:t>
      </w:r>
      <w:r w:rsidRPr="00886E2B">
        <w:rPr>
          <w:rFonts w:cstheme="minorHAnsi"/>
          <w:sz w:val="24"/>
          <w:szCs w:val="24"/>
        </w:rPr>
        <w:t>35/08</w:t>
      </w:r>
      <w:r w:rsidR="00AD596E" w:rsidRPr="00886E2B">
        <w:rPr>
          <w:rFonts w:cstheme="minorHAnsi"/>
          <w:sz w:val="24"/>
          <w:szCs w:val="24"/>
        </w:rPr>
        <w:t>, 127/19</w:t>
      </w:r>
      <w:r w:rsidR="00325DE1">
        <w:rPr>
          <w:rFonts w:cstheme="minorHAnsi"/>
          <w:sz w:val="24"/>
          <w:szCs w:val="24"/>
        </w:rPr>
        <w:t>, 151/22</w:t>
      </w:r>
      <w:r w:rsidRPr="00886E2B">
        <w:rPr>
          <w:rFonts w:cstheme="minorHAnsi"/>
          <w:sz w:val="24"/>
          <w:szCs w:val="24"/>
        </w:rPr>
        <w:t>)</w:t>
      </w:r>
    </w:p>
    <w:p w14:paraId="69583932" w14:textId="501E3040" w:rsidR="00560ED1" w:rsidRPr="00325DE1" w:rsidRDefault="00560ED1" w:rsidP="00DA6B42">
      <w:pPr>
        <w:numPr>
          <w:ilvl w:val="0"/>
          <w:numId w:val="16"/>
        </w:numPr>
        <w:suppressAutoHyphens/>
        <w:autoSpaceDN w:val="0"/>
        <w:spacing w:line="254" w:lineRule="auto"/>
        <w:contextualSpacing/>
        <w:jc w:val="both"/>
        <w:rPr>
          <w:rFonts w:eastAsia="Calibri" w:cstheme="minorHAnsi"/>
          <w:sz w:val="24"/>
          <w:szCs w:val="24"/>
          <w:lang w:val="en-US"/>
        </w:rPr>
      </w:pPr>
      <w:r w:rsidRPr="00886E2B">
        <w:rPr>
          <w:rFonts w:cstheme="minorHAnsi"/>
          <w:sz w:val="24"/>
          <w:szCs w:val="24"/>
        </w:rPr>
        <w:t xml:space="preserve">Zakon o proračunu (NN br. </w:t>
      </w:r>
      <w:r w:rsidR="00864D21" w:rsidRPr="00886E2B">
        <w:rPr>
          <w:rFonts w:cstheme="minorHAnsi"/>
          <w:sz w:val="24"/>
          <w:szCs w:val="24"/>
        </w:rPr>
        <w:t>144/21</w:t>
      </w:r>
      <w:r w:rsidRPr="00886E2B">
        <w:rPr>
          <w:rFonts w:cstheme="minorHAnsi"/>
          <w:sz w:val="24"/>
          <w:szCs w:val="24"/>
        </w:rPr>
        <w:t>)</w:t>
      </w:r>
    </w:p>
    <w:p w14:paraId="2C08F67F" w14:textId="0D903893" w:rsidR="00325DE1" w:rsidRPr="00886E2B" w:rsidRDefault="00325DE1" w:rsidP="00DA6B42">
      <w:pPr>
        <w:numPr>
          <w:ilvl w:val="0"/>
          <w:numId w:val="16"/>
        </w:numPr>
        <w:suppressAutoHyphens/>
        <w:autoSpaceDN w:val="0"/>
        <w:spacing w:line="254" w:lineRule="auto"/>
        <w:contextualSpacing/>
        <w:jc w:val="both"/>
        <w:rPr>
          <w:rFonts w:eastAsia="Calibri" w:cstheme="minorHAnsi"/>
          <w:sz w:val="24"/>
          <w:szCs w:val="24"/>
          <w:lang w:val="en-US"/>
        </w:rPr>
      </w:pPr>
      <w:r>
        <w:rPr>
          <w:rFonts w:cstheme="minorHAnsi"/>
          <w:sz w:val="24"/>
          <w:szCs w:val="24"/>
        </w:rPr>
        <w:t>Zakon o izvršenju državnog proračuna (NN 145/22)</w:t>
      </w:r>
    </w:p>
    <w:p w14:paraId="78971C6F" w14:textId="36E54EE9" w:rsidR="00560ED1" w:rsidRPr="00886E2B" w:rsidRDefault="00560ED1" w:rsidP="00DA6B42">
      <w:pPr>
        <w:numPr>
          <w:ilvl w:val="0"/>
          <w:numId w:val="16"/>
        </w:numPr>
        <w:suppressAutoHyphens/>
        <w:autoSpaceDN w:val="0"/>
        <w:spacing w:line="254" w:lineRule="auto"/>
        <w:contextualSpacing/>
        <w:jc w:val="both"/>
        <w:rPr>
          <w:rFonts w:eastAsia="Calibri" w:cstheme="minorHAnsi"/>
          <w:sz w:val="24"/>
          <w:szCs w:val="24"/>
          <w:lang w:val="en-US"/>
        </w:rPr>
      </w:pPr>
      <w:r w:rsidRPr="00886E2B">
        <w:rPr>
          <w:rFonts w:cstheme="minorHAnsi"/>
          <w:sz w:val="24"/>
          <w:szCs w:val="24"/>
        </w:rPr>
        <w:lastRenderedPageBreak/>
        <w:t>Pravilnik o proračunskim klasifikacijama (NN br.</w:t>
      </w:r>
      <w:r w:rsidR="00864D21" w:rsidRPr="00886E2B">
        <w:rPr>
          <w:rFonts w:cstheme="minorHAnsi"/>
          <w:sz w:val="24"/>
          <w:szCs w:val="24"/>
        </w:rPr>
        <w:t xml:space="preserve"> 26/2010, 120/2013, 1/2020</w:t>
      </w:r>
      <w:r w:rsidR="00325DE1">
        <w:rPr>
          <w:rFonts w:cstheme="minorHAnsi"/>
          <w:sz w:val="24"/>
          <w:szCs w:val="24"/>
        </w:rPr>
        <w:t>, 144/2021</w:t>
      </w:r>
      <w:r w:rsidRPr="00886E2B">
        <w:rPr>
          <w:rFonts w:cstheme="minorHAnsi"/>
          <w:sz w:val="24"/>
          <w:szCs w:val="24"/>
        </w:rPr>
        <w:t>)</w:t>
      </w:r>
    </w:p>
    <w:p w14:paraId="582AD665" w14:textId="787EB768" w:rsidR="00560ED1" w:rsidRPr="00886E2B" w:rsidRDefault="00560ED1" w:rsidP="00DA6B42">
      <w:pPr>
        <w:numPr>
          <w:ilvl w:val="0"/>
          <w:numId w:val="16"/>
        </w:numPr>
        <w:spacing w:before="274" w:beforeAutospacing="1" w:after="274" w:afterAutospacing="1" w:line="240" w:lineRule="auto"/>
        <w:jc w:val="both"/>
        <w:rPr>
          <w:rFonts w:cstheme="minorHAnsi"/>
          <w:sz w:val="24"/>
          <w:szCs w:val="24"/>
        </w:rPr>
      </w:pPr>
      <w:r w:rsidRPr="00886E2B">
        <w:rPr>
          <w:rFonts w:cstheme="minorHAnsi"/>
          <w:sz w:val="24"/>
          <w:szCs w:val="24"/>
        </w:rPr>
        <w:t>Pravilnik o proračunskom računovodstvu i računskom planu (NN br.</w:t>
      </w:r>
      <w:r w:rsidR="00864D21" w:rsidRPr="00886E2B">
        <w:t xml:space="preserve"> </w:t>
      </w:r>
      <w:r w:rsidR="00864D21" w:rsidRPr="00886E2B">
        <w:rPr>
          <w:rFonts w:cstheme="minorHAnsi"/>
          <w:sz w:val="24"/>
          <w:szCs w:val="24"/>
        </w:rPr>
        <w:t>124/2014, 115/2015, 87/2016, 3/2018, 126/2019, 108/2020</w:t>
      </w:r>
      <w:r w:rsidR="00325DE1">
        <w:rPr>
          <w:rFonts w:cstheme="minorHAnsi"/>
          <w:sz w:val="24"/>
          <w:szCs w:val="24"/>
        </w:rPr>
        <w:t>, 144/2021</w:t>
      </w:r>
      <w:r w:rsidRPr="00886E2B">
        <w:rPr>
          <w:rFonts w:cstheme="minorHAnsi"/>
          <w:sz w:val="24"/>
          <w:szCs w:val="24"/>
        </w:rPr>
        <w:t xml:space="preserve">) </w:t>
      </w:r>
    </w:p>
    <w:p w14:paraId="7E6FB522" w14:textId="657EE957" w:rsidR="00560ED1" w:rsidRPr="00886E2B" w:rsidRDefault="00560ED1" w:rsidP="00DA6B42">
      <w:pPr>
        <w:numPr>
          <w:ilvl w:val="0"/>
          <w:numId w:val="16"/>
        </w:numPr>
        <w:spacing w:before="274" w:beforeAutospacing="1" w:after="274" w:afterAutospacing="1" w:line="240" w:lineRule="auto"/>
        <w:jc w:val="both"/>
        <w:rPr>
          <w:rFonts w:cstheme="minorHAnsi"/>
          <w:sz w:val="24"/>
          <w:szCs w:val="24"/>
        </w:rPr>
      </w:pPr>
      <w:r w:rsidRPr="00886E2B">
        <w:rPr>
          <w:rFonts w:cstheme="minorHAnsi"/>
          <w:sz w:val="24"/>
          <w:szCs w:val="24"/>
        </w:rPr>
        <w:t xml:space="preserve">Zakon o fiskalnoj odgovornosti (NN br. </w:t>
      </w:r>
      <w:r w:rsidR="00864D21" w:rsidRPr="00886E2B">
        <w:rPr>
          <w:rFonts w:cstheme="minorHAnsi"/>
          <w:sz w:val="24"/>
          <w:szCs w:val="24"/>
        </w:rPr>
        <w:t>111/2018</w:t>
      </w:r>
      <w:r w:rsidR="00325DE1">
        <w:rPr>
          <w:rFonts w:cstheme="minorHAnsi"/>
          <w:sz w:val="24"/>
          <w:szCs w:val="24"/>
        </w:rPr>
        <w:t>, 41/2020, 83/23</w:t>
      </w:r>
      <w:r w:rsidRPr="00886E2B">
        <w:rPr>
          <w:rFonts w:cstheme="minorHAnsi"/>
          <w:sz w:val="24"/>
          <w:szCs w:val="24"/>
        </w:rPr>
        <w:t>)</w:t>
      </w:r>
    </w:p>
    <w:p w14:paraId="1E84CE64" w14:textId="17829BC5" w:rsidR="00560ED1" w:rsidRPr="00420BDC" w:rsidRDefault="00560ED1" w:rsidP="00DA6B42">
      <w:pPr>
        <w:numPr>
          <w:ilvl w:val="0"/>
          <w:numId w:val="16"/>
        </w:numPr>
        <w:suppressAutoHyphens/>
        <w:autoSpaceDN w:val="0"/>
        <w:spacing w:line="254" w:lineRule="auto"/>
        <w:contextualSpacing/>
        <w:jc w:val="both"/>
        <w:rPr>
          <w:rFonts w:cstheme="minorHAnsi"/>
          <w:sz w:val="24"/>
          <w:szCs w:val="24"/>
        </w:rPr>
      </w:pPr>
      <w:bookmarkStart w:id="1" w:name="_Hlk115334892"/>
      <w:r w:rsidRPr="00420BDC">
        <w:rPr>
          <w:rFonts w:cstheme="minorHAnsi"/>
          <w:sz w:val="24"/>
          <w:szCs w:val="24"/>
        </w:rPr>
        <w:t>Kolektivni ugovor za znanost i visoko obrazovanje (</w:t>
      </w:r>
      <w:r w:rsidR="00864D21" w:rsidRPr="00420BDC">
        <w:rPr>
          <w:rFonts w:cstheme="minorHAnsi"/>
          <w:sz w:val="24"/>
          <w:szCs w:val="24"/>
        </w:rPr>
        <w:t>9/2019, 9/2019, 52/2020</w:t>
      </w:r>
      <w:r w:rsidRPr="00420BDC">
        <w:rPr>
          <w:rFonts w:cstheme="minorHAnsi"/>
          <w:sz w:val="24"/>
          <w:szCs w:val="24"/>
        </w:rPr>
        <w:t>)</w:t>
      </w:r>
    </w:p>
    <w:p w14:paraId="67EEA1AD" w14:textId="77777777" w:rsidR="00560ED1" w:rsidRPr="00420BDC" w:rsidRDefault="00560ED1" w:rsidP="00DA6B42">
      <w:pPr>
        <w:numPr>
          <w:ilvl w:val="0"/>
          <w:numId w:val="16"/>
        </w:numPr>
        <w:suppressAutoHyphens/>
        <w:autoSpaceDN w:val="0"/>
        <w:spacing w:line="254" w:lineRule="auto"/>
        <w:contextualSpacing/>
        <w:jc w:val="both"/>
        <w:rPr>
          <w:rFonts w:cstheme="minorHAnsi"/>
          <w:sz w:val="24"/>
          <w:szCs w:val="24"/>
        </w:rPr>
      </w:pPr>
      <w:r w:rsidRPr="00420BDC">
        <w:rPr>
          <w:rFonts w:cstheme="minorHAnsi"/>
          <w:sz w:val="24"/>
          <w:szCs w:val="24"/>
        </w:rPr>
        <w:t>Zakon o studentskom zboru i drugim studentskim organizacijama (NN 71/2007)</w:t>
      </w:r>
    </w:p>
    <w:p w14:paraId="48BD5166" w14:textId="282ED512" w:rsidR="00560ED1" w:rsidRPr="00420BDC" w:rsidRDefault="00560ED1" w:rsidP="00DA6B42">
      <w:pPr>
        <w:numPr>
          <w:ilvl w:val="0"/>
          <w:numId w:val="16"/>
        </w:numPr>
        <w:suppressAutoHyphens/>
        <w:autoSpaceDN w:val="0"/>
        <w:spacing w:line="254" w:lineRule="auto"/>
        <w:contextualSpacing/>
        <w:jc w:val="both"/>
        <w:rPr>
          <w:rFonts w:cstheme="minorHAnsi"/>
          <w:sz w:val="24"/>
          <w:szCs w:val="24"/>
        </w:rPr>
      </w:pPr>
      <w:r w:rsidRPr="00420BDC">
        <w:rPr>
          <w:rFonts w:cstheme="minorHAnsi"/>
          <w:sz w:val="24"/>
          <w:szCs w:val="24"/>
        </w:rPr>
        <w:t>Strategija znanosti, obrazovanja i tehnologije</w:t>
      </w:r>
      <w:r w:rsidR="00345660" w:rsidRPr="00420BDC">
        <w:rPr>
          <w:rFonts w:cstheme="minorHAnsi"/>
          <w:sz w:val="24"/>
          <w:szCs w:val="24"/>
        </w:rPr>
        <w:t xml:space="preserve"> (NN 124/2014)</w:t>
      </w:r>
    </w:p>
    <w:bookmarkEnd w:id="1"/>
    <w:p w14:paraId="21E890F2" w14:textId="77777777" w:rsidR="00560ED1" w:rsidRPr="000647E3" w:rsidRDefault="00560ED1" w:rsidP="00DA6B42">
      <w:pPr>
        <w:suppressAutoHyphens/>
        <w:autoSpaceDN w:val="0"/>
        <w:spacing w:line="254" w:lineRule="auto"/>
        <w:ind w:left="720"/>
        <w:contextualSpacing/>
        <w:jc w:val="both"/>
        <w:rPr>
          <w:rFonts w:ascii="Arial" w:eastAsia="Calibri" w:hAnsi="Arial" w:cs="Arial"/>
          <w:lang w:val="en-US"/>
        </w:rPr>
      </w:pPr>
    </w:p>
    <w:tbl>
      <w:tblPr>
        <w:tblW w:w="9578" w:type="dxa"/>
        <w:jc w:val="center"/>
        <w:tblCellMar>
          <w:left w:w="10" w:type="dxa"/>
          <w:right w:w="10" w:type="dxa"/>
        </w:tblCellMar>
        <w:tblLook w:val="04A0" w:firstRow="1" w:lastRow="0" w:firstColumn="1" w:lastColumn="0" w:noHBand="0" w:noVBand="1"/>
      </w:tblPr>
      <w:tblGrid>
        <w:gridCol w:w="2878"/>
        <w:gridCol w:w="2233"/>
        <w:gridCol w:w="2233"/>
        <w:gridCol w:w="2234"/>
      </w:tblGrid>
      <w:tr w:rsidR="00560ED1" w:rsidRPr="000647E3" w14:paraId="61D96A96" w14:textId="77777777" w:rsidTr="00FF5A8D">
        <w:trPr>
          <w:trHeight w:val="666"/>
          <w:jc w:val="center"/>
        </w:trPr>
        <w:tc>
          <w:tcPr>
            <w:tcW w:w="2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D540D" w14:textId="77777777" w:rsidR="00560ED1" w:rsidRPr="000647E3" w:rsidRDefault="00560ED1" w:rsidP="00DA6B42">
            <w:pPr>
              <w:suppressAutoHyphens/>
              <w:autoSpaceDN w:val="0"/>
              <w:jc w:val="both"/>
              <w:rPr>
                <w:rFonts w:ascii="Calibri" w:eastAsia="Calibri" w:hAnsi="Calibri"/>
                <w:sz w:val="24"/>
                <w:szCs w:val="24"/>
                <w:lang w:val="en-US"/>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E6326" w14:textId="06963B6F" w:rsidR="00560ED1" w:rsidRPr="000647E3" w:rsidRDefault="00560ED1" w:rsidP="00DA6B42">
            <w:pPr>
              <w:suppressAutoHyphens/>
              <w:autoSpaceDN w:val="0"/>
              <w:jc w:val="both"/>
              <w:rPr>
                <w:rFonts w:ascii="Calibri" w:eastAsia="Calibri" w:hAnsi="Calibri"/>
                <w:sz w:val="24"/>
                <w:szCs w:val="24"/>
                <w:lang w:val="en-US"/>
              </w:rPr>
            </w:pPr>
            <w:r w:rsidRPr="000647E3">
              <w:rPr>
                <w:rFonts w:ascii="Calibri" w:eastAsia="Calibri" w:hAnsi="Calibri"/>
                <w:sz w:val="24"/>
                <w:szCs w:val="24"/>
                <w:lang w:val="en-US"/>
              </w:rPr>
              <w:t>Plan 202</w:t>
            </w:r>
            <w:r w:rsidR="00325DE1">
              <w:rPr>
                <w:rFonts w:ascii="Calibri" w:eastAsia="Calibri" w:hAnsi="Calibri"/>
                <w:sz w:val="24"/>
                <w:szCs w:val="24"/>
                <w:lang w:val="en-US"/>
              </w:rPr>
              <w:t>4</w:t>
            </w:r>
            <w:r w:rsidRPr="000647E3">
              <w:rPr>
                <w:rFonts w:ascii="Calibri" w:eastAsia="Calibri" w:hAnsi="Calibri"/>
                <w:sz w:val="24"/>
                <w:szCs w:val="24"/>
                <w:lang w:val="en-US"/>
              </w:rPr>
              <w:t>.</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E55FD" w14:textId="680094A5" w:rsidR="00560ED1" w:rsidRPr="000647E3" w:rsidRDefault="00560ED1" w:rsidP="00DA6B42">
            <w:pPr>
              <w:suppressAutoHyphens/>
              <w:autoSpaceDN w:val="0"/>
              <w:jc w:val="both"/>
              <w:rPr>
                <w:rFonts w:ascii="Calibri" w:eastAsia="Calibri" w:hAnsi="Calibri"/>
                <w:sz w:val="24"/>
                <w:szCs w:val="24"/>
                <w:lang w:val="en-US"/>
              </w:rPr>
            </w:pPr>
            <w:r w:rsidRPr="000647E3">
              <w:rPr>
                <w:rFonts w:ascii="Calibri" w:eastAsia="Calibri" w:hAnsi="Calibri"/>
                <w:sz w:val="24"/>
                <w:szCs w:val="24"/>
                <w:lang w:val="en-US"/>
              </w:rPr>
              <w:t>Plan 202</w:t>
            </w:r>
            <w:r w:rsidR="00325DE1">
              <w:rPr>
                <w:rFonts w:ascii="Calibri" w:eastAsia="Calibri" w:hAnsi="Calibri"/>
                <w:sz w:val="24"/>
                <w:szCs w:val="24"/>
                <w:lang w:val="en-US"/>
              </w:rPr>
              <w:t>5</w:t>
            </w:r>
            <w:r w:rsidRPr="000647E3">
              <w:rPr>
                <w:rFonts w:ascii="Calibri" w:eastAsia="Calibri" w:hAnsi="Calibri"/>
                <w:sz w:val="24"/>
                <w:szCs w:val="24"/>
                <w:lang w:val="en-US"/>
              </w:rPr>
              <w:t>.</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592B2" w14:textId="1143B853" w:rsidR="00560ED1" w:rsidRPr="000647E3" w:rsidRDefault="00560ED1" w:rsidP="00DA6B42">
            <w:pPr>
              <w:suppressAutoHyphens/>
              <w:autoSpaceDN w:val="0"/>
              <w:jc w:val="both"/>
              <w:rPr>
                <w:rFonts w:ascii="Calibri" w:eastAsia="Calibri" w:hAnsi="Calibri"/>
                <w:sz w:val="24"/>
                <w:szCs w:val="24"/>
                <w:lang w:val="en-US"/>
              </w:rPr>
            </w:pPr>
            <w:r w:rsidRPr="000647E3">
              <w:rPr>
                <w:rFonts w:ascii="Calibri" w:eastAsia="Calibri" w:hAnsi="Calibri"/>
                <w:sz w:val="24"/>
                <w:szCs w:val="24"/>
                <w:lang w:val="en-US"/>
              </w:rPr>
              <w:t>Plan 202</w:t>
            </w:r>
            <w:r w:rsidR="00325DE1">
              <w:rPr>
                <w:rFonts w:ascii="Calibri" w:eastAsia="Calibri" w:hAnsi="Calibri"/>
                <w:sz w:val="24"/>
                <w:szCs w:val="24"/>
                <w:lang w:val="en-US"/>
              </w:rPr>
              <w:t>6</w:t>
            </w:r>
            <w:r w:rsidRPr="000647E3">
              <w:rPr>
                <w:rFonts w:ascii="Calibri" w:eastAsia="Calibri" w:hAnsi="Calibri"/>
                <w:sz w:val="24"/>
                <w:szCs w:val="24"/>
                <w:lang w:val="en-US"/>
              </w:rPr>
              <w:t>.</w:t>
            </w:r>
          </w:p>
        </w:tc>
      </w:tr>
      <w:tr w:rsidR="00560ED1" w:rsidRPr="000647E3" w14:paraId="1AC876E5" w14:textId="77777777" w:rsidTr="00FF5A8D">
        <w:trPr>
          <w:trHeight w:val="791"/>
          <w:jc w:val="center"/>
        </w:trPr>
        <w:tc>
          <w:tcPr>
            <w:tcW w:w="2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AF7F9" w14:textId="77777777" w:rsidR="00560ED1" w:rsidRPr="000647E3" w:rsidRDefault="00560ED1" w:rsidP="00DA6B42">
            <w:pPr>
              <w:suppressAutoHyphens/>
              <w:autoSpaceDN w:val="0"/>
              <w:jc w:val="both"/>
              <w:rPr>
                <w:rFonts w:ascii="Calibri" w:eastAsia="Calibri" w:hAnsi="Calibri"/>
                <w:b/>
                <w:bCs/>
                <w:sz w:val="24"/>
                <w:szCs w:val="24"/>
                <w:lang w:val="en-US"/>
              </w:rPr>
            </w:pPr>
            <w:r w:rsidRPr="000647E3">
              <w:rPr>
                <w:rFonts w:ascii="Calibri" w:eastAsia="Calibri" w:hAnsi="Calibri"/>
                <w:b/>
                <w:bCs/>
                <w:sz w:val="24"/>
                <w:szCs w:val="24"/>
                <w:lang w:val="en-US"/>
              </w:rPr>
              <w:t>A621001</w:t>
            </w:r>
          </w:p>
          <w:p w14:paraId="2767F27C" w14:textId="77777777" w:rsidR="00560ED1" w:rsidRPr="000647E3" w:rsidRDefault="00560ED1" w:rsidP="00DA6B42">
            <w:pPr>
              <w:suppressAutoHyphens/>
              <w:autoSpaceDN w:val="0"/>
              <w:jc w:val="both"/>
              <w:rPr>
                <w:rFonts w:ascii="Calibri" w:eastAsia="Calibri" w:hAnsi="Calibri"/>
                <w:sz w:val="24"/>
                <w:szCs w:val="24"/>
                <w:lang w:val="en-US"/>
              </w:rPr>
            </w:pPr>
            <w:proofErr w:type="spellStart"/>
            <w:r w:rsidRPr="000647E3">
              <w:rPr>
                <w:rFonts w:ascii="Calibri" w:eastAsia="Calibri" w:hAnsi="Calibri"/>
                <w:sz w:val="24"/>
                <w:szCs w:val="24"/>
                <w:lang w:val="en-US"/>
              </w:rPr>
              <w:t>Redovna</w:t>
            </w:r>
            <w:proofErr w:type="spellEnd"/>
            <w:r w:rsidRPr="000647E3">
              <w:rPr>
                <w:rFonts w:ascii="Calibri" w:eastAsia="Calibri" w:hAnsi="Calibri"/>
                <w:sz w:val="24"/>
                <w:szCs w:val="24"/>
                <w:lang w:val="en-US"/>
              </w:rPr>
              <w:t xml:space="preserve"> </w:t>
            </w:r>
            <w:proofErr w:type="spellStart"/>
            <w:r w:rsidRPr="000647E3">
              <w:rPr>
                <w:rFonts w:ascii="Calibri" w:eastAsia="Calibri" w:hAnsi="Calibri"/>
                <w:sz w:val="24"/>
                <w:szCs w:val="24"/>
                <w:lang w:val="en-US"/>
              </w:rPr>
              <w:t>djelatnost</w:t>
            </w:r>
            <w:proofErr w:type="spellEnd"/>
            <w:r w:rsidRPr="000647E3">
              <w:rPr>
                <w:rFonts w:ascii="Calibri" w:eastAsia="Calibri" w:hAnsi="Calibri"/>
                <w:sz w:val="24"/>
                <w:szCs w:val="24"/>
                <w:lang w:val="en-US"/>
              </w:rPr>
              <w:t xml:space="preserve"> </w:t>
            </w:r>
            <w:proofErr w:type="spellStart"/>
            <w:r w:rsidRPr="000647E3">
              <w:rPr>
                <w:rFonts w:ascii="Calibri" w:eastAsia="Calibri" w:hAnsi="Calibri"/>
                <w:sz w:val="24"/>
                <w:szCs w:val="24"/>
                <w:lang w:val="en-US"/>
              </w:rPr>
              <w:t>Prirodoslovno-matematičkog</w:t>
            </w:r>
            <w:proofErr w:type="spellEnd"/>
            <w:r w:rsidRPr="000647E3">
              <w:rPr>
                <w:rFonts w:ascii="Calibri" w:eastAsia="Calibri" w:hAnsi="Calibri"/>
                <w:sz w:val="24"/>
                <w:szCs w:val="24"/>
                <w:lang w:val="en-US"/>
              </w:rPr>
              <w:t xml:space="preserve"> </w:t>
            </w:r>
            <w:proofErr w:type="spellStart"/>
            <w:r w:rsidRPr="000647E3">
              <w:rPr>
                <w:rFonts w:ascii="Calibri" w:eastAsia="Calibri" w:hAnsi="Calibri"/>
                <w:sz w:val="24"/>
                <w:szCs w:val="24"/>
                <w:lang w:val="en-US"/>
              </w:rPr>
              <w:t>fakulteta</w:t>
            </w:r>
            <w:proofErr w:type="spellEnd"/>
            <w:r w:rsidRPr="000647E3">
              <w:rPr>
                <w:rFonts w:ascii="Calibri" w:eastAsia="Calibri" w:hAnsi="Calibri"/>
                <w:sz w:val="24"/>
                <w:szCs w:val="24"/>
                <w:lang w:val="en-US"/>
              </w:rPr>
              <w:t xml:space="preserve"> </w:t>
            </w:r>
            <w:proofErr w:type="spellStart"/>
            <w:r w:rsidRPr="000647E3">
              <w:rPr>
                <w:rFonts w:ascii="Calibri" w:eastAsia="Calibri" w:hAnsi="Calibri"/>
                <w:sz w:val="24"/>
                <w:szCs w:val="24"/>
                <w:lang w:val="en-US"/>
              </w:rPr>
              <w:t>Sveučilišta</w:t>
            </w:r>
            <w:proofErr w:type="spellEnd"/>
            <w:r w:rsidRPr="000647E3">
              <w:rPr>
                <w:rFonts w:ascii="Calibri" w:eastAsia="Calibri" w:hAnsi="Calibri"/>
                <w:sz w:val="24"/>
                <w:szCs w:val="24"/>
                <w:lang w:val="en-US"/>
              </w:rPr>
              <w:t xml:space="preserve"> u </w:t>
            </w:r>
            <w:proofErr w:type="spellStart"/>
            <w:r w:rsidRPr="000647E3">
              <w:rPr>
                <w:rFonts w:ascii="Calibri" w:eastAsia="Calibri" w:hAnsi="Calibri"/>
                <w:sz w:val="24"/>
                <w:szCs w:val="24"/>
                <w:lang w:val="en-US"/>
              </w:rPr>
              <w:t>Zagrebu</w:t>
            </w:r>
            <w:proofErr w:type="spellEnd"/>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E4F98" w14:textId="1BAF6720" w:rsidR="00560ED1" w:rsidRPr="000647E3" w:rsidRDefault="00A152BD" w:rsidP="00DA6B42">
            <w:pPr>
              <w:suppressAutoHyphens/>
              <w:autoSpaceDN w:val="0"/>
              <w:jc w:val="both"/>
              <w:rPr>
                <w:rFonts w:ascii="Calibri" w:eastAsia="Calibri" w:hAnsi="Calibri"/>
                <w:sz w:val="24"/>
                <w:szCs w:val="24"/>
                <w:lang w:val="en-US"/>
              </w:rPr>
            </w:pPr>
            <w:r>
              <w:rPr>
                <w:rFonts w:ascii="Calibri" w:eastAsia="Calibri" w:hAnsi="Calibri"/>
                <w:sz w:val="24"/>
                <w:szCs w:val="24"/>
                <w:lang w:val="en-US"/>
              </w:rPr>
              <w:t>2</w:t>
            </w:r>
            <w:r w:rsidR="00325DE1">
              <w:rPr>
                <w:rFonts w:ascii="Calibri" w:eastAsia="Calibri" w:hAnsi="Calibri"/>
                <w:sz w:val="24"/>
                <w:szCs w:val="24"/>
                <w:lang w:val="en-US"/>
              </w:rPr>
              <w:t>2.</w:t>
            </w:r>
            <w:r w:rsidR="00EA7B2B">
              <w:rPr>
                <w:rFonts w:ascii="Calibri" w:eastAsia="Calibri" w:hAnsi="Calibri"/>
                <w:sz w:val="24"/>
                <w:szCs w:val="24"/>
                <w:lang w:val="en-US"/>
              </w:rPr>
              <w:t>328.593</w:t>
            </w:r>
            <w:r w:rsidR="00560ED1">
              <w:rPr>
                <w:rFonts w:ascii="Calibri" w:eastAsia="Calibri" w:hAnsi="Calibri"/>
                <w:sz w:val="24"/>
                <w:szCs w:val="24"/>
                <w:lang w:val="en-US"/>
              </w:rPr>
              <w:t xml:space="preserve"> </w:t>
            </w:r>
            <w:r w:rsidR="00D716CA">
              <w:rPr>
                <w:rFonts w:ascii="Calibri" w:eastAsia="Calibri" w:hAnsi="Calibri"/>
                <w:sz w:val="24"/>
                <w:szCs w:val="24"/>
                <w:lang w:val="en-US"/>
              </w:rPr>
              <w:t>EUR</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05E2C" w14:textId="2401862F" w:rsidR="00560ED1" w:rsidRPr="000647E3" w:rsidRDefault="00A152BD" w:rsidP="00DA6B42">
            <w:pPr>
              <w:suppressAutoHyphens/>
              <w:autoSpaceDN w:val="0"/>
              <w:jc w:val="both"/>
              <w:rPr>
                <w:rFonts w:ascii="Calibri" w:eastAsia="Calibri" w:hAnsi="Calibri"/>
                <w:sz w:val="24"/>
                <w:szCs w:val="24"/>
                <w:lang w:val="en-US"/>
              </w:rPr>
            </w:pPr>
            <w:r>
              <w:rPr>
                <w:rFonts w:ascii="Calibri" w:eastAsia="Calibri" w:hAnsi="Calibri"/>
                <w:sz w:val="24"/>
                <w:szCs w:val="24"/>
                <w:lang w:val="en-US"/>
              </w:rPr>
              <w:t>2</w:t>
            </w:r>
            <w:r w:rsidR="00325DE1">
              <w:rPr>
                <w:rFonts w:ascii="Calibri" w:eastAsia="Calibri" w:hAnsi="Calibri"/>
                <w:sz w:val="24"/>
                <w:szCs w:val="24"/>
                <w:lang w:val="en-US"/>
              </w:rPr>
              <w:t>2.39</w:t>
            </w:r>
            <w:r w:rsidR="00EA7B2B">
              <w:rPr>
                <w:rFonts w:ascii="Calibri" w:eastAsia="Calibri" w:hAnsi="Calibri"/>
                <w:sz w:val="24"/>
                <w:szCs w:val="24"/>
                <w:lang w:val="en-US"/>
              </w:rPr>
              <w:t>6.735</w:t>
            </w:r>
            <w:r w:rsidR="00D716CA">
              <w:rPr>
                <w:rFonts w:ascii="Calibri" w:eastAsia="Calibri" w:hAnsi="Calibri"/>
                <w:sz w:val="24"/>
                <w:szCs w:val="24"/>
                <w:lang w:val="en-US"/>
              </w:rPr>
              <w:t xml:space="preserve"> EUR</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9A3AA" w14:textId="5740AFCA" w:rsidR="00560ED1" w:rsidRPr="000647E3" w:rsidRDefault="00A152BD" w:rsidP="00DA6B42">
            <w:pPr>
              <w:suppressAutoHyphens/>
              <w:autoSpaceDN w:val="0"/>
              <w:jc w:val="both"/>
              <w:rPr>
                <w:rFonts w:ascii="Calibri" w:eastAsia="Calibri" w:hAnsi="Calibri"/>
                <w:sz w:val="24"/>
                <w:szCs w:val="24"/>
                <w:lang w:val="en-US"/>
              </w:rPr>
            </w:pPr>
            <w:r>
              <w:rPr>
                <w:rFonts w:ascii="Calibri" w:eastAsia="Calibri" w:hAnsi="Calibri"/>
                <w:sz w:val="24"/>
                <w:szCs w:val="24"/>
                <w:lang w:val="en-US"/>
              </w:rPr>
              <w:t>2</w:t>
            </w:r>
            <w:r w:rsidR="00325DE1">
              <w:rPr>
                <w:rFonts w:ascii="Calibri" w:eastAsia="Calibri" w:hAnsi="Calibri"/>
                <w:sz w:val="24"/>
                <w:szCs w:val="24"/>
                <w:lang w:val="en-US"/>
              </w:rPr>
              <w:t>2.</w:t>
            </w:r>
            <w:r w:rsidR="00EA7B2B">
              <w:rPr>
                <w:rFonts w:ascii="Calibri" w:eastAsia="Calibri" w:hAnsi="Calibri"/>
                <w:sz w:val="24"/>
                <w:szCs w:val="24"/>
                <w:lang w:val="en-US"/>
              </w:rPr>
              <w:t>408.964</w:t>
            </w:r>
            <w:r w:rsidR="00FC6714">
              <w:rPr>
                <w:rFonts w:ascii="Calibri" w:eastAsia="Calibri" w:hAnsi="Calibri"/>
                <w:sz w:val="24"/>
                <w:szCs w:val="24"/>
                <w:lang w:val="en-US"/>
              </w:rPr>
              <w:t xml:space="preserve"> </w:t>
            </w:r>
            <w:r w:rsidR="00D716CA">
              <w:rPr>
                <w:rFonts w:ascii="Calibri" w:eastAsia="Calibri" w:hAnsi="Calibri"/>
                <w:sz w:val="24"/>
                <w:szCs w:val="24"/>
                <w:lang w:val="en-US"/>
              </w:rPr>
              <w:t>EUR</w:t>
            </w:r>
          </w:p>
        </w:tc>
      </w:tr>
    </w:tbl>
    <w:p w14:paraId="0D141344" w14:textId="6A24C59D" w:rsidR="00560ED1" w:rsidRPr="00560ED1" w:rsidRDefault="00560ED1" w:rsidP="00DA6B42">
      <w:pPr>
        <w:spacing w:before="274" w:beforeAutospacing="1" w:after="274" w:afterAutospacing="1" w:line="240" w:lineRule="auto"/>
        <w:jc w:val="both"/>
        <w:rPr>
          <w:rFonts w:cstheme="minorHAnsi"/>
          <w:sz w:val="24"/>
          <w:szCs w:val="24"/>
        </w:rPr>
      </w:pPr>
      <w:r w:rsidRPr="00560ED1">
        <w:rPr>
          <w:rFonts w:cstheme="minorHAnsi"/>
          <w:sz w:val="24"/>
          <w:szCs w:val="24"/>
        </w:rPr>
        <w:t>Ova aktivnost sastoji se od slijedećih elemenata: pla</w:t>
      </w:r>
      <w:r w:rsidR="00FC4877">
        <w:rPr>
          <w:rFonts w:cstheme="minorHAnsi"/>
          <w:sz w:val="24"/>
          <w:szCs w:val="24"/>
        </w:rPr>
        <w:t>ć</w:t>
      </w:r>
      <w:r w:rsidRPr="00560ED1">
        <w:rPr>
          <w:rFonts w:cstheme="minorHAnsi"/>
          <w:sz w:val="24"/>
          <w:szCs w:val="24"/>
        </w:rPr>
        <w:t>e za zaposlene,</w:t>
      </w:r>
      <w:r w:rsidR="00FB374C">
        <w:rPr>
          <w:rFonts w:cstheme="minorHAnsi"/>
          <w:sz w:val="24"/>
          <w:szCs w:val="24"/>
        </w:rPr>
        <w:t xml:space="preserve"> plaća za posebne uvjete rada,</w:t>
      </w:r>
      <w:r w:rsidRPr="00560ED1">
        <w:rPr>
          <w:rFonts w:cstheme="minorHAnsi"/>
          <w:sz w:val="24"/>
          <w:szCs w:val="24"/>
        </w:rPr>
        <w:t xml:space="preserve"> materijalna prava zaposlenih, naknada za sistematske preglede zaposlenika</w:t>
      </w:r>
      <w:r>
        <w:rPr>
          <w:rFonts w:cstheme="minorHAnsi"/>
          <w:sz w:val="24"/>
          <w:szCs w:val="24"/>
        </w:rPr>
        <w:t xml:space="preserve"> te se </w:t>
      </w:r>
      <w:r w:rsidRPr="00560ED1">
        <w:rPr>
          <w:rFonts w:cstheme="minorHAnsi"/>
          <w:sz w:val="24"/>
          <w:szCs w:val="24"/>
        </w:rPr>
        <w:t>provodi svake godine.</w:t>
      </w:r>
    </w:p>
    <w:p w14:paraId="5633C290" w14:textId="1B115916" w:rsidR="00560ED1" w:rsidRPr="00CC2200" w:rsidRDefault="00325DE1" w:rsidP="00DA6B42">
      <w:pPr>
        <w:spacing w:before="274" w:beforeAutospacing="1" w:after="274" w:afterAutospacing="1" w:line="240" w:lineRule="auto"/>
        <w:jc w:val="both"/>
        <w:rPr>
          <w:rFonts w:cstheme="minorHAnsi"/>
          <w:sz w:val="24"/>
          <w:szCs w:val="24"/>
        </w:rPr>
      </w:pPr>
      <w:r>
        <w:rPr>
          <w:rFonts w:cstheme="minorHAnsi"/>
          <w:sz w:val="24"/>
          <w:szCs w:val="24"/>
        </w:rPr>
        <w:t>Za 2024. god. planirano je ukupno povećanje od 6,36 % u odnosu na</w:t>
      </w:r>
      <w:r w:rsidR="00FB374C">
        <w:rPr>
          <w:rFonts w:cstheme="minorHAnsi"/>
          <w:sz w:val="24"/>
          <w:szCs w:val="24"/>
        </w:rPr>
        <w:t xml:space="preserve"> plan za</w:t>
      </w:r>
      <w:r>
        <w:rPr>
          <w:rFonts w:cstheme="minorHAnsi"/>
          <w:sz w:val="24"/>
          <w:szCs w:val="24"/>
        </w:rPr>
        <w:t xml:space="preserve"> 2023. god.  pri čemu su sredstva za plaće</w:t>
      </w:r>
      <w:r w:rsidR="00FB374C">
        <w:rPr>
          <w:rFonts w:cstheme="minorHAnsi"/>
          <w:sz w:val="24"/>
          <w:szCs w:val="24"/>
        </w:rPr>
        <w:t xml:space="preserve"> uvećana u odnosu na plan 2023. za redovna povećanja zbog napredovanja i navršenih godina staža, a rashodi za materijalne troškove planirani su na razini 2023. god. Projekcije za 2025. i 2026. za ukupna sredstva redovne djelatnosti su povećana za 0,49 % u odnosu na plan 2024. god.</w:t>
      </w:r>
    </w:p>
    <w:p w14:paraId="1ABBE442" w14:textId="79995851" w:rsidR="00560ED1" w:rsidRPr="00CC2200" w:rsidRDefault="00560ED1" w:rsidP="00DA6B42">
      <w:pPr>
        <w:suppressAutoHyphens/>
        <w:autoSpaceDN w:val="0"/>
        <w:spacing w:line="480" w:lineRule="auto"/>
        <w:jc w:val="both"/>
        <w:rPr>
          <w:rFonts w:ascii="Calibri" w:eastAsia="Calibri" w:hAnsi="Calibri"/>
          <w:sz w:val="24"/>
          <w:szCs w:val="24"/>
          <w:lang w:val="en-US"/>
        </w:rPr>
      </w:pPr>
      <w:proofErr w:type="spellStart"/>
      <w:r w:rsidRPr="00CC2200">
        <w:rPr>
          <w:rFonts w:ascii="Calibri" w:eastAsia="Calibri" w:hAnsi="Calibri"/>
          <w:b/>
          <w:bCs/>
          <w:i/>
          <w:iCs/>
          <w:sz w:val="24"/>
          <w:szCs w:val="24"/>
          <w:lang w:val="en-US"/>
        </w:rPr>
        <w:t>Izračun</w:t>
      </w:r>
      <w:proofErr w:type="spellEnd"/>
      <w:r w:rsidR="00CC2200" w:rsidRPr="00CC2200">
        <w:rPr>
          <w:rFonts w:ascii="Calibri" w:eastAsia="Calibri" w:hAnsi="Calibri"/>
          <w:b/>
          <w:bCs/>
          <w:i/>
          <w:iCs/>
          <w:sz w:val="24"/>
          <w:szCs w:val="24"/>
          <w:lang w:val="en-US"/>
        </w:rPr>
        <w:t xml:space="preserve"> </w:t>
      </w:r>
      <w:proofErr w:type="spellStart"/>
      <w:r w:rsidRPr="00CC2200">
        <w:rPr>
          <w:rFonts w:ascii="Calibri" w:eastAsia="Calibri" w:hAnsi="Calibri"/>
          <w:b/>
          <w:bCs/>
          <w:i/>
          <w:iCs/>
          <w:sz w:val="24"/>
          <w:szCs w:val="24"/>
          <w:lang w:val="en-US"/>
        </w:rPr>
        <w:t>financijskog</w:t>
      </w:r>
      <w:proofErr w:type="spellEnd"/>
      <w:r w:rsidRPr="00CC2200">
        <w:rPr>
          <w:rFonts w:ascii="Calibri" w:eastAsia="Calibri" w:hAnsi="Calibri"/>
          <w:b/>
          <w:bCs/>
          <w:i/>
          <w:iCs/>
          <w:sz w:val="24"/>
          <w:szCs w:val="24"/>
          <w:lang w:val="en-US"/>
        </w:rPr>
        <w:t xml:space="preserve"> plana:</w:t>
      </w:r>
    </w:p>
    <w:p w14:paraId="35307891" w14:textId="45C33546" w:rsidR="00560ED1" w:rsidRPr="00CC2200" w:rsidRDefault="00560ED1" w:rsidP="00DA6B42">
      <w:pPr>
        <w:numPr>
          <w:ilvl w:val="0"/>
          <w:numId w:val="17"/>
        </w:numPr>
        <w:suppressAutoHyphens/>
        <w:autoSpaceDN w:val="0"/>
        <w:spacing w:line="254" w:lineRule="auto"/>
        <w:contextualSpacing/>
        <w:jc w:val="both"/>
        <w:rPr>
          <w:rFonts w:ascii="Calibri" w:eastAsia="Calibri" w:hAnsi="Calibri"/>
          <w:sz w:val="24"/>
          <w:szCs w:val="24"/>
          <w:lang w:val="en-US"/>
        </w:rPr>
      </w:pPr>
      <w:proofErr w:type="spellStart"/>
      <w:r w:rsidRPr="00CC2200">
        <w:rPr>
          <w:rFonts w:ascii="Calibri" w:eastAsia="Calibri" w:hAnsi="Calibri"/>
          <w:sz w:val="24"/>
          <w:szCs w:val="24"/>
          <w:lang w:val="en-US"/>
        </w:rPr>
        <w:t>Planirani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broj</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zaposlenih</w:t>
      </w:r>
      <w:proofErr w:type="spellEnd"/>
      <w:r w:rsidRPr="00CC2200">
        <w:rPr>
          <w:rFonts w:ascii="Calibri" w:eastAsia="Calibri" w:hAnsi="Calibri"/>
          <w:sz w:val="24"/>
          <w:szCs w:val="24"/>
          <w:lang w:val="en-US"/>
        </w:rPr>
        <w:t xml:space="preserve"> u 202</w:t>
      </w:r>
      <w:r w:rsidR="00FB374C">
        <w:rPr>
          <w:rFonts w:ascii="Calibri" w:eastAsia="Calibri" w:hAnsi="Calibri"/>
          <w:sz w:val="24"/>
          <w:szCs w:val="24"/>
          <w:lang w:val="en-US"/>
        </w:rPr>
        <w:t>4</w:t>
      </w:r>
      <w:r w:rsidRPr="00CC2200">
        <w:rPr>
          <w:rFonts w:ascii="Calibri" w:eastAsia="Calibri" w:hAnsi="Calibri"/>
          <w:sz w:val="24"/>
          <w:szCs w:val="24"/>
          <w:lang w:val="en-US"/>
        </w:rPr>
        <w:t xml:space="preserve">. x </w:t>
      </w:r>
      <w:proofErr w:type="spellStart"/>
      <w:r w:rsidRPr="00CC2200">
        <w:rPr>
          <w:rFonts w:ascii="Calibri" w:eastAsia="Calibri" w:hAnsi="Calibri"/>
          <w:sz w:val="24"/>
          <w:szCs w:val="24"/>
          <w:lang w:val="en-US"/>
        </w:rPr>
        <w:t>iznos</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prosječne</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mjesečne</w:t>
      </w:r>
      <w:proofErr w:type="spellEnd"/>
      <w:r w:rsidRPr="00CC2200">
        <w:rPr>
          <w:rFonts w:ascii="Calibri" w:eastAsia="Calibri" w:hAnsi="Calibri"/>
          <w:sz w:val="24"/>
          <w:szCs w:val="24"/>
          <w:lang w:val="en-US"/>
        </w:rPr>
        <w:t xml:space="preserve"> place x 12 </w:t>
      </w:r>
      <w:proofErr w:type="spellStart"/>
      <w:r w:rsidRPr="00CC2200">
        <w:rPr>
          <w:rFonts w:ascii="Calibri" w:eastAsia="Calibri" w:hAnsi="Calibri"/>
          <w:sz w:val="24"/>
          <w:szCs w:val="24"/>
          <w:lang w:val="en-US"/>
        </w:rPr>
        <w:t>mjeseci</w:t>
      </w:r>
      <w:proofErr w:type="spellEnd"/>
      <w:r w:rsidRPr="00CC2200">
        <w:rPr>
          <w:rFonts w:ascii="Calibri" w:eastAsia="Calibri" w:hAnsi="Calibri"/>
          <w:sz w:val="24"/>
          <w:szCs w:val="24"/>
          <w:lang w:val="en-US"/>
        </w:rPr>
        <w:t xml:space="preserve"> + </w:t>
      </w:r>
      <w:proofErr w:type="spellStart"/>
      <w:r w:rsidRPr="00CC2200">
        <w:rPr>
          <w:rFonts w:ascii="Calibri" w:eastAsia="Calibri" w:hAnsi="Calibri"/>
          <w:sz w:val="24"/>
          <w:szCs w:val="24"/>
          <w:lang w:val="en-US"/>
        </w:rPr>
        <w:t>ostali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rashodi</w:t>
      </w:r>
      <w:proofErr w:type="spellEnd"/>
      <w:r w:rsidRPr="00CC2200">
        <w:rPr>
          <w:rFonts w:ascii="Calibri" w:eastAsia="Calibri" w:hAnsi="Calibri"/>
          <w:sz w:val="24"/>
          <w:szCs w:val="24"/>
          <w:lang w:val="en-US"/>
        </w:rPr>
        <w:t xml:space="preserve"> za </w:t>
      </w:r>
      <w:proofErr w:type="spellStart"/>
      <w:r w:rsidRPr="00CC2200">
        <w:rPr>
          <w:rFonts w:ascii="Calibri" w:eastAsia="Calibri" w:hAnsi="Calibri"/>
          <w:sz w:val="24"/>
          <w:szCs w:val="24"/>
          <w:lang w:val="en-US"/>
        </w:rPr>
        <w:t>zaposlene</w:t>
      </w:r>
      <w:proofErr w:type="spellEnd"/>
    </w:p>
    <w:p w14:paraId="1F8E1C2F" w14:textId="5AB5EBA8" w:rsidR="00560ED1" w:rsidRPr="00CC2200" w:rsidRDefault="00560ED1" w:rsidP="00DA6B42">
      <w:pPr>
        <w:suppressAutoHyphens/>
        <w:autoSpaceDN w:val="0"/>
        <w:spacing w:line="254" w:lineRule="auto"/>
        <w:ind w:left="720"/>
        <w:contextualSpacing/>
        <w:jc w:val="both"/>
        <w:rPr>
          <w:rFonts w:ascii="Calibri" w:eastAsia="Calibri" w:hAnsi="Calibri"/>
          <w:sz w:val="24"/>
          <w:szCs w:val="24"/>
          <w:lang w:val="en-US"/>
        </w:rPr>
      </w:pPr>
      <w:proofErr w:type="spellStart"/>
      <w:r w:rsidRPr="00CC2200">
        <w:rPr>
          <w:rFonts w:ascii="Calibri" w:eastAsia="Calibri" w:hAnsi="Calibri"/>
          <w:sz w:val="24"/>
          <w:szCs w:val="24"/>
          <w:lang w:val="en-US"/>
        </w:rPr>
        <w:t>Broj</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zaposlenih</w:t>
      </w:r>
      <w:proofErr w:type="spellEnd"/>
      <w:r w:rsidRPr="00CC2200">
        <w:rPr>
          <w:rFonts w:ascii="Calibri" w:eastAsia="Calibri" w:hAnsi="Calibri"/>
          <w:sz w:val="24"/>
          <w:szCs w:val="24"/>
          <w:lang w:val="en-US"/>
        </w:rPr>
        <w:t xml:space="preserve"> u 20</w:t>
      </w:r>
      <w:r w:rsidR="00FC6714">
        <w:rPr>
          <w:rFonts w:ascii="Calibri" w:eastAsia="Calibri" w:hAnsi="Calibri"/>
          <w:sz w:val="24"/>
          <w:szCs w:val="24"/>
          <w:lang w:val="en-US"/>
        </w:rPr>
        <w:t>2</w:t>
      </w:r>
      <w:r w:rsidR="00FB374C">
        <w:rPr>
          <w:rFonts w:ascii="Calibri" w:eastAsia="Calibri" w:hAnsi="Calibri"/>
          <w:sz w:val="24"/>
          <w:szCs w:val="24"/>
          <w:lang w:val="en-US"/>
        </w:rPr>
        <w:t>5</w:t>
      </w:r>
      <w:r w:rsidRPr="00CC2200">
        <w:rPr>
          <w:rFonts w:ascii="Calibri" w:eastAsia="Calibri" w:hAnsi="Calibri"/>
          <w:sz w:val="24"/>
          <w:szCs w:val="24"/>
          <w:lang w:val="en-US"/>
        </w:rPr>
        <w:t xml:space="preserve">. x </w:t>
      </w:r>
      <w:proofErr w:type="spellStart"/>
      <w:r w:rsidRPr="00CC2200">
        <w:rPr>
          <w:rFonts w:ascii="Calibri" w:eastAsia="Calibri" w:hAnsi="Calibri"/>
          <w:sz w:val="24"/>
          <w:szCs w:val="24"/>
          <w:lang w:val="en-US"/>
        </w:rPr>
        <w:t>iznos</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prosječne</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mjesečne</w:t>
      </w:r>
      <w:proofErr w:type="spellEnd"/>
      <w:r w:rsidRPr="00CC2200">
        <w:rPr>
          <w:rFonts w:ascii="Calibri" w:eastAsia="Calibri" w:hAnsi="Calibri"/>
          <w:sz w:val="24"/>
          <w:szCs w:val="24"/>
          <w:lang w:val="en-US"/>
        </w:rPr>
        <w:t xml:space="preserve"> place x 12 </w:t>
      </w:r>
      <w:proofErr w:type="spellStart"/>
      <w:r w:rsidRPr="00CC2200">
        <w:rPr>
          <w:rFonts w:ascii="Calibri" w:eastAsia="Calibri" w:hAnsi="Calibri"/>
          <w:sz w:val="24"/>
          <w:szCs w:val="24"/>
          <w:lang w:val="en-US"/>
        </w:rPr>
        <w:t>mjeseci</w:t>
      </w:r>
      <w:proofErr w:type="spellEnd"/>
      <w:r w:rsidRPr="00CC2200">
        <w:rPr>
          <w:rFonts w:ascii="Calibri" w:eastAsia="Calibri" w:hAnsi="Calibri"/>
          <w:sz w:val="24"/>
          <w:szCs w:val="24"/>
          <w:lang w:val="en-US"/>
        </w:rPr>
        <w:t xml:space="preserve"> + </w:t>
      </w:r>
      <w:proofErr w:type="spellStart"/>
      <w:r w:rsidRPr="00CC2200">
        <w:rPr>
          <w:rFonts w:ascii="Calibri" w:eastAsia="Calibri" w:hAnsi="Calibri"/>
          <w:sz w:val="24"/>
          <w:szCs w:val="24"/>
          <w:lang w:val="en-US"/>
        </w:rPr>
        <w:t>ostali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rashodi</w:t>
      </w:r>
      <w:proofErr w:type="spellEnd"/>
      <w:r w:rsidRPr="00CC2200">
        <w:rPr>
          <w:rFonts w:ascii="Calibri" w:eastAsia="Calibri" w:hAnsi="Calibri"/>
          <w:sz w:val="24"/>
          <w:szCs w:val="24"/>
          <w:lang w:val="en-US"/>
        </w:rPr>
        <w:t xml:space="preserve"> za </w:t>
      </w:r>
      <w:proofErr w:type="spellStart"/>
      <w:r w:rsidRPr="00CC2200">
        <w:rPr>
          <w:rFonts w:ascii="Calibri" w:eastAsia="Calibri" w:hAnsi="Calibri"/>
          <w:sz w:val="24"/>
          <w:szCs w:val="24"/>
          <w:lang w:val="en-US"/>
        </w:rPr>
        <w:t>zaposlene</w:t>
      </w:r>
      <w:proofErr w:type="spellEnd"/>
    </w:p>
    <w:p w14:paraId="2702D2CC" w14:textId="7BFA0DDE" w:rsidR="003B5FE9" w:rsidRPr="003B5FE9" w:rsidRDefault="00560ED1" w:rsidP="00DA6B42">
      <w:pPr>
        <w:suppressAutoHyphens/>
        <w:autoSpaceDN w:val="0"/>
        <w:spacing w:line="254" w:lineRule="auto"/>
        <w:ind w:left="720"/>
        <w:contextualSpacing/>
        <w:jc w:val="both"/>
        <w:rPr>
          <w:rFonts w:ascii="Calibri" w:eastAsia="Calibri" w:hAnsi="Calibri"/>
          <w:sz w:val="24"/>
          <w:szCs w:val="24"/>
          <w:lang w:val="en-US"/>
        </w:rPr>
      </w:pPr>
      <w:proofErr w:type="spellStart"/>
      <w:r w:rsidRPr="00CC2200">
        <w:rPr>
          <w:rFonts w:ascii="Calibri" w:eastAsia="Calibri" w:hAnsi="Calibri"/>
          <w:sz w:val="24"/>
          <w:szCs w:val="24"/>
          <w:lang w:val="en-US"/>
        </w:rPr>
        <w:t>Broj</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zaposlenih</w:t>
      </w:r>
      <w:proofErr w:type="spellEnd"/>
      <w:r w:rsidRPr="00CC2200">
        <w:rPr>
          <w:rFonts w:ascii="Calibri" w:eastAsia="Calibri" w:hAnsi="Calibri"/>
          <w:sz w:val="24"/>
          <w:szCs w:val="24"/>
          <w:lang w:val="en-US"/>
        </w:rPr>
        <w:t xml:space="preserve"> u 202</w:t>
      </w:r>
      <w:r w:rsidR="00FB374C">
        <w:rPr>
          <w:rFonts w:ascii="Calibri" w:eastAsia="Calibri" w:hAnsi="Calibri"/>
          <w:sz w:val="24"/>
          <w:szCs w:val="24"/>
          <w:lang w:val="en-US"/>
        </w:rPr>
        <w:t>6</w:t>
      </w:r>
      <w:r w:rsidRPr="00CC2200">
        <w:rPr>
          <w:rFonts w:ascii="Calibri" w:eastAsia="Calibri" w:hAnsi="Calibri"/>
          <w:sz w:val="24"/>
          <w:szCs w:val="24"/>
          <w:lang w:val="en-US"/>
        </w:rPr>
        <w:t xml:space="preserve">. x </w:t>
      </w:r>
      <w:proofErr w:type="spellStart"/>
      <w:r w:rsidRPr="00CC2200">
        <w:rPr>
          <w:rFonts w:ascii="Calibri" w:eastAsia="Calibri" w:hAnsi="Calibri"/>
          <w:sz w:val="24"/>
          <w:szCs w:val="24"/>
          <w:lang w:val="en-US"/>
        </w:rPr>
        <w:t>iznos</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prosječne</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mjesečne</w:t>
      </w:r>
      <w:proofErr w:type="spellEnd"/>
      <w:r w:rsidRPr="00CC2200">
        <w:rPr>
          <w:rFonts w:ascii="Calibri" w:eastAsia="Calibri" w:hAnsi="Calibri"/>
          <w:sz w:val="24"/>
          <w:szCs w:val="24"/>
          <w:lang w:val="en-US"/>
        </w:rPr>
        <w:t xml:space="preserve"> place x 12 </w:t>
      </w:r>
      <w:proofErr w:type="spellStart"/>
      <w:r w:rsidRPr="00CC2200">
        <w:rPr>
          <w:rFonts w:ascii="Calibri" w:eastAsia="Calibri" w:hAnsi="Calibri"/>
          <w:sz w:val="24"/>
          <w:szCs w:val="24"/>
          <w:lang w:val="en-US"/>
        </w:rPr>
        <w:t>mjeseci</w:t>
      </w:r>
      <w:proofErr w:type="spellEnd"/>
      <w:r w:rsidRPr="00CC2200">
        <w:rPr>
          <w:rFonts w:ascii="Calibri" w:eastAsia="Calibri" w:hAnsi="Calibri"/>
          <w:sz w:val="24"/>
          <w:szCs w:val="24"/>
          <w:lang w:val="en-US"/>
        </w:rPr>
        <w:t xml:space="preserve"> + </w:t>
      </w:r>
      <w:proofErr w:type="spellStart"/>
      <w:r w:rsidRPr="00CC2200">
        <w:rPr>
          <w:rFonts w:ascii="Calibri" w:eastAsia="Calibri" w:hAnsi="Calibri"/>
          <w:sz w:val="24"/>
          <w:szCs w:val="24"/>
          <w:lang w:val="en-US"/>
        </w:rPr>
        <w:t>ostali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rashodi</w:t>
      </w:r>
      <w:proofErr w:type="spellEnd"/>
      <w:r w:rsidRPr="00CC2200">
        <w:rPr>
          <w:rFonts w:ascii="Calibri" w:eastAsia="Calibri" w:hAnsi="Calibri"/>
          <w:sz w:val="24"/>
          <w:szCs w:val="24"/>
          <w:lang w:val="en-US"/>
        </w:rPr>
        <w:t xml:space="preserve"> za </w:t>
      </w:r>
      <w:proofErr w:type="spellStart"/>
      <w:r w:rsidRPr="00CC2200">
        <w:rPr>
          <w:rFonts w:ascii="Calibri" w:eastAsia="Calibri" w:hAnsi="Calibri"/>
          <w:sz w:val="24"/>
          <w:szCs w:val="24"/>
          <w:lang w:val="en-US"/>
        </w:rPr>
        <w:t>zaposlene</w:t>
      </w:r>
      <w:proofErr w:type="spellEnd"/>
      <w:r w:rsidR="003B5FE9">
        <w:rPr>
          <w:rFonts w:ascii="Calibri" w:eastAsia="Calibri" w:hAnsi="Calibri"/>
          <w:sz w:val="24"/>
          <w:szCs w:val="24"/>
          <w:lang w:val="en-US"/>
        </w:rPr>
        <w:t>.</w:t>
      </w:r>
    </w:p>
    <w:p w14:paraId="3F597C9F" w14:textId="77777777" w:rsidR="00FB374C" w:rsidRDefault="00FB374C" w:rsidP="00DA6B42">
      <w:pPr>
        <w:suppressAutoHyphens/>
        <w:autoSpaceDN w:val="0"/>
        <w:spacing w:line="251" w:lineRule="auto"/>
        <w:jc w:val="both"/>
        <w:rPr>
          <w:rFonts w:ascii="Calibri" w:eastAsia="Calibri" w:hAnsi="Calibri"/>
          <w:b/>
          <w:bCs/>
          <w:sz w:val="28"/>
          <w:szCs w:val="28"/>
          <w:lang w:val="en-US"/>
        </w:rPr>
      </w:pPr>
    </w:p>
    <w:p w14:paraId="462037C8" w14:textId="77777777" w:rsidR="00F32C01" w:rsidRDefault="00F32C01" w:rsidP="00DA6B42">
      <w:pPr>
        <w:suppressAutoHyphens/>
        <w:autoSpaceDN w:val="0"/>
        <w:spacing w:line="251" w:lineRule="auto"/>
        <w:jc w:val="both"/>
        <w:rPr>
          <w:rFonts w:ascii="Calibri" w:eastAsia="Calibri" w:hAnsi="Calibri"/>
          <w:b/>
          <w:bCs/>
          <w:sz w:val="28"/>
          <w:szCs w:val="28"/>
          <w:lang w:val="en-US"/>
        </w:rPr>
      </w:pPr>
    </w:p>
    <w:p w14:paraId="37A33D15" w14:textId="77777777" w:rsidR="00F32C01" w:rsidRDefault="00F32C01" w:rsidP="00DA6B42">
      <w:pPr>
        <w:suppressAutoHyphens/>
        <w:autoSpaceDN w:val="0"/>
        <w:spacing w:line="251" w:lineRule="auto"/>
        <w:jc w:val="both"/>
        <w:rPr>
          <w:rFonts w:ascii="Calibri" w:eastAsia="Calibri" w:hAnsi="Calibri"/>
          <w:b/>
          <w:bCs/>
          <w:sz w:val="28"/>
          <w:szCs w:val="28"/>
          <w:lang w:val="en-US"/>
        </w:rPr>
      </w:pPr>
    </w:p>
    <w:p w14:paraId="05A61926" w14:textId="77777777" w:rsidR="00F32C01" w:rsidRDefault="00F32C01" w:rsidP="00DA6B42">
      <w:pPr>
        <w:suppressAutoHyphens/>
        <w:autoSpaceDN w:val="0"/>
        <w:spacing w:line="251" w:lineRule="auto"/>
        <w:jc w:val="both"/>
        <w:rPr>
          <w:rFonts w:ascii="Calibri" w:eastAsia="Calibri" w:hAnsi="Calibri"/>
          <w:b/>
          <w:bCs/>
          <w:sz w:val="28"/>
          <w:szCs w:val="28"/>
          <w:lang w:val="en-US"/>
        </w:rPr>
      </w:pPr>
    </w:p>
    <w:p w14:paraId="1861438F" w14:textId="77777777" w:rsidR="00F32C01" w:rsidRDefault="00F32C01" w:rsidP="00DA6B42">
      <w:pPr>
        <w:suppressAutoHyphens/>
        <w:autoSpaceDN w:val="0"/>
        <w:spacing w:line="251" w:lineRule="auto"/>
        <w:jc w:val="both"/>
        <w:rPr>
          <w:rFonts w:ascii="Calibri" w:eastAsia="Calibri" w:hAnsi="Calibri"/>
          <w:b/>
          <w:bCs/>
          <w:sz w:val="28"/>
          <w:szCs w:val="28"/>
          <w:lang w:val="en-US"/>
        </w:rPr>
      </w:pPr>
    </w:p>
    <w:p w14:paraId="1B54E159" w14:textId="393B9F42" w:rsidR="00560ED1" w:rsidRPr="002E5112" w:rsidRDefault="00560ED1" w:rsidP="00DA6B42">
      <w:pPr>
        <w:suppressAutoHyphens/>
        <w:autoSpaceDN w:val="0"/>
        <w:spacing w:line="251" w:lineRule="auto"/>
        <w:jc w:val="both"/>
        <w:rPr>
          <w:rFonts w:ascii="Calibri" w:eastAsia="Calibri" w:hAnsi="Calibri"/>
          <w:b/>
          <w:bCs/>
          <w:sz w:val="28"/>
          <w:szCs w:val="28"/>
          <w:lang w:val="en-US"/>
        </w:rPr>
      </w:pPr>
      <w:r w:rsidRPr="002E5112">
        <w:rPr>
          <w:rFonts w:ascii="Calibri" w:eastAsia="Calibri" w:hAnsi="Calibri"/>
          <w:b/>
          <w:bCs/>
          <w:sz w:val="28"/>
          <w:szCs w:val="28"/>
          <w:lang w:val="en-US"/>
        </w:rPr>
        <w:lastRenderedPageBreak/>
        <w:t xml:space="preserve">A622122 </w:t>
      </w:r>
      <w:proofErr w:type="spellStart"/>
      <w:r w:rsidRPr="002E5112">
        <w:rPr>
          <w:rFonts w:ascii="Calibri" w:eastAsia="Calibri" w:hAnsi="Calibri"/>
          <w:b/>
          <w:bCs/>
          <w:sz w:val="28"/>
          <w:szCs w:val="28"/>
          <w:lang w:val="en-US"/>
        </w:rPr>
        <w:t>Programsko</w:t>
      </w:r>
      <w:proofErr w:type="spellEnd"/>
      <w:r w:rsidRPr="002E5112">
        <w:rPr>
          <w:rFonts w:ascii="Calibri" w:eastAsia="Calibri" w:hAnsi="Calibri"/>
          <w:b/>
          <w:bCs/>
          <w:sz w:val="28"/>
          <w:szCs w:val="28"/>
          <w:lang w:val="en-US"/>
        </w:rPr>
        <w:t xml:space="preserve"> </w:t>
      </w:r>
      <w:proofErr w:type="spellStart"/>
      <w:r w:rsidRPr="002E5112">
        <w:rPr>
          <w:rFonts w:ascii="Calibri" w:eastAsia="Calibri" w:hAnsi="Calibri"/>
          <w:b/>
          <w:bCs/>
          <w:sz w:val="28"/>
          <w:szCs w:val="28"/>
          <w:lang w:val="en-US"/>
        </w:rPr>
        <w:t>financiranje</w:t>
      </w:r>
      <w:proofErr w:type="spellEnd"/>
      <w:r w:rsidRPr="002E5112">
        <w:rPr>
          <w:rFonts w:ascii="Calibri" w:eastAsia="Calibri" w:hAnsi="Calibri"/>
          <w:b/>
          <w:bCs/>
          <w:sz w:val="28"/>
          <w:szCs w:val="28"/>
          <w:lang w:val="en-US"/>
        </w:rPr>
        <w:t xml:space="preserve"> </w:t>
      </w:r>
      <w:proofErr w:type="spellStart"/>
      <w:r w:rsidRPr="002E5112">
        <w:rPr>
          <w:rFonts w:ascii="Calibri" w:eastAsia="Calibri" w:hAnsi="Calibri"/>
          <w:b/>
          <w:bCs/>
          <w:sz w:val="28"/>
          <w:szCs w:val="28"/>
          <w:lang w:val="en-US"/>
        </w:rPr>
        <w:t>javnih</w:t>
      </w:r>
      <w:proofErr w:type="spellEnd"/>
      <w:r w:rsidRPr="002E5112">
        <w:rPr>
          <w:rFonts w:ascii="Calibri" w:eastAsia="Calibri" w:hAnsi="Calibri"/>
          <w:b/>
          <w:bCs/>
          <w:sz w:val="28"/>
          <w:szCs w:val="28"/>
          <w:lang w:val="en-US"/>
        </w:rPr>
        <w:t xml:space="preserve"> </w:t>
      </w:r>
      <w:proofErr w:type="spellStart"/>
      <w:r w:rsidRPr="002E5112">
        <w:rPr>
          <w:rFonts w:ascii="Calibri" w:eastAsia="Calibri" w:hAnsi="Calibri"/>
          <w:b/>
          <w:bCs/>
          <w:sz w:val="28"/>
          <w:szCs w:val="28"/>
          <w:lang w:val="en-US"/>
        </w:rPr>
        <w:t>visokih</w:t>
      </w:r>
      <w:proofErr w:type="spellEnd"/>
      <w:r w:rsidRPr="002E5112">
        <w:rPr>
          <w:rFonts w:ascii="Calibri" w:eastAsia="Calibri" w:hAnsi="Calibri"/>
          <w:b/>
          <w:bCs/>
          <w:sz w:val="28"/>
          <w:szCs w:val="28"/>
          <w:lang w:val="en-US"/>
        </w:rPr>
        <w:t xml:space="preserve"> </w:t>
      </w:r>
      <w:proofErr w:type="spellStart"/>
      <w:r w:rsidRPr="002E5112">
        <w:rPr>
          <w:rFonts w:ascii="Calibri" w:eastAsia="Calibri" w:hAnsi="Calibri"/>
          <w:b/>
          <w:bCs/>
          <w:sz w:val="28"/>
          <w:szCs w:val="28"/>
          <w:lang w:val="en-US"/>
        </w:rPr>
        <w:t>učilišta</w:t>
      </w:r>
      <w:proofErr w:type="spellEnd"/>
    </w:p>
    <w:p w14:paraId="2255D33F" w14:textId="77777777" w:rsidR="00560ED1" w:rsidRPr="00F87AAC" w:rsidRDefault="00560ED1" w:rsidP="00DA6B42">
      <w:pPr>
        <w:suppressAutoHyphens/>
        <w:autoSpaceDN w:val="0"/>
        <w:spacing w:line="251" w:lineRule="auto"/>
        <w:jc w:val="both"/>
        <w:rPr>
          <w:rFonts w:ascii="Calibri" w:eastAsia="Calibri" w:hAnsi="Calibri"/>
          <w:lang w:val="en-US"/>
        </w:rPr>
      </w:pPr>
      <w:proofErr w:type="spellStart"/>
      <w:r w:rsidRPr="00DA6B42">
        <w:rPr>
          <w:rFonts w:ascii="Calibri" w:eastAsia="Calibri" w:hAnsi="Calibri"/>
          <w:i/>
          <w:iCs/>
          <w:sz w:val="24"/>
          <w:szCs w:val="24"/>
          <w:lang w:val="en-US"/>
        </w:rPr>
        <w:t>Zakonske</w:t>
      </w:r>
      <w:proofErr w:type="spellEnd"/>
      <w:r w:rsidRPr="00DA6B42">
        <w:rPr>
          <w:rFonts w:ascii="Calibri" w:eastAsia="Calibri" w:hAnsi="Calibri"/>
          <w:i/>
          <w:iCs/>
          <w:sz w:val="24"/>
          <w:szCs w:val="24"/>
          <w:lang w:val="en-US"/>
        </w:rPr>
        <w:t xml:space="preserve"> </w:t>
      </w:r>
      <w:proofErr w:type="spellStart"/>
      <w:r w:rsidRPr="00DA6B42">
        <w:rPr>
          <w:rFonts w:ascii="Calibri" w:eastAsia="Calibri" w:hAnsi="Calibri"/>
          <w:i/>
          <w:iCs/>
          <w:sz w:val="24"/>
          <w:szCs w:val="24"/>
          <w:lang w:val="en-US"/>
        </w:rPr>
        <w:t>i</w:t>
      </w:r>
      <w:proofErr w:type="spellEnd"/>
      <w:r w:rsidRPr="00DA6B42">
        <w:rPr>
          <w:rFonts w:ascii="Calibri" w:eastAsia="Calibri" w:hAnsi="Calibri"/>
          <w:i/>
          <w:iCs/>
          <w:sz w:val="24"/>
          <w:szCs w:val="24"/>
          <w:lang w:val="en-US"/>
        </w:rPr>
        <w:t xml:space="preserve"> </w:t>
      </w:r>
      <w:proofErr w:type="spellStart"/>
      <w:r w:rsidRPr="00DA6B42">
        <w:rPr>
          <w:rFonts w:ascii="Calibri" w:eastAsia="Calibri" w:hAnsi="Calibri"/>
          <w:i/>
          <w:iCs/>
          <w:sz w:val="24"/>
          <w:szCs w:val="24"/>
          <w:lang w:val="en-US"/>
        </w:rPr>
        <w:t>druge</w:t>
      </w:r>
      <w:proofErr w:type="spellEnd"/>
      <w:r w:rsidRPr="00DA6B42">
        <w:rPr>
          <w:rFonts w:ascii="Calibri" w:eastAsia="Calibri" w:hAnsi="Calibri"/>
          <w:i/>
          <w:iCs/>
          <w:sz w:val="24"/>
          <w:szCs w:val="24"/>
          <w:lang w:val="en-US"/>
        </w:rPr>
        <w:t xml:space="preserve"> </w:t>
      </w:r>
      <w:proofErr w:type="spellStart"/>
      <w:r w:rsidRPr="00DA6B42">
        <w:rPr>
          <w:rFonts w:ascii="Calibri" w:eastAsia="Calibri" w:hAnsi="Calibri"/>
          <w:i/>
          <w:iCs/>
          <w:sz w:val="24"/>
          <w:szCs w:val="24"/>
          <w:lang w:val="en-US"/>
        </w:rPr>
        <w:t>pravne</w:t>
      </w:r>
      <w:proofErr w:type="spellEnd"/>
      <w:r w:rsidRPr="00DA6B42">
        <w:rPr>
          <w:rFonts w:ascii="Calibri" w:eastAsia="Calibri" w:hAnsi="Calibri"/>
          <w:i/>
          <w:iCs/>
          <w:sz w:val="24"/>
          <w:szCs w:val="24"/>
          <w:lang w:val="en-US"/>
        </w:rPr>
        <w:t xml:space="preserve"> </w:t>
      </w:r>
      <w:proofErr w:type="spellStart"/>
      <w:r w:rsidRPr="00DA6B42">
        <w:rPr>
          <w:rFonts w:ascii="Calibri" w:eastAsia="Calibri" w:hAnsi="Calibri"/>
          <w:i/>
          <w:iCs/>
          <w:sz w:val="24"/>
          <w:szCs w:val="24"/>
          <w:lang w:val="en-US"/>
        </w:rPr>
        <w:t>osnove</w:t>
      </w:r>
      <w:proofErr w:type="spellEnd"/>
    </w:p>
    <w:p w14:paraId="5195EF67" w14:textId="1C9B885B" w:rsidR="00560ED1" w:rsidRPr="002E5112" w:rsidRDefault="00560ED1" w:rsidP="00DA6B42">
      <w:pPr>
        <w:numPr>
          <w:ilvl w:val="0"/>
          <w:numId w:val="18"/>
        </w:numPr>
        <w:suppressAutoHyphens/>
        <w:autoSpaceDN w:val="0"/>
        <w:spacing w:line="251" w:lineRule="auto"/>
        <w:contextualSpacing/>
        <w:jc w:val="both"/>
        <w:rPr>
          <w:rFonts w:ascii="Calibri" w:eastAsia="Calibri" w:hAnsi="Calibri"/>
          <w:lang w:val="en-US"/>
        </w:rPr>
      </w:pPr>
      <w:r w:rsidRPr="002E5112">
        <w:rPr>
          <w:rFonts w:ascii="Calibri" w:eastAsia="Calibri" w:hAnsi="Calibri"/>
          <w:i/>
          <w:iCs/>
          <w:sz w:val="24"/>
          <w:szCs w:val="24"/>
          <w:lang w:val="en-US"/>
        </w:rPr>
        <w:t xml:space="preserve">Zakon o </w:t>
      </w:r>
      <w:proofErr w:type="spellStart"/>
      <w:r w:rsidRPr="002E5112">
        <w:rPr>
          <w:rFonts w:ascii="Calibri" w:eastAsia="Calibri" w:hAnsi="Calibri"/>
          <w:i/>
          <w:iCs/>
          <w:sz w:val="24"/>
          <w:szCs w:val="24"/>
          <w:lang w:val="en-US"/>
        </w:rPr>
        <w:t>znanstvenoj</w:t>
      </w:r>
      <w:proofErr w:type="spellEnd"/>
      <w:r w:rsidRPr="002E5112">
        <w:rPr>
          <w:rFonts w:ascii="Calibri" w:eastAsia="Calibri" w:hAnsi="Calibri"/>
          <w:i/>
          <w:iCs/>
          <w:sz w:val="24"/>
          <w:szCs w:val="24"/>
          <w:lang w:val="en-US"/>
        </w:rPr>
        <w:t xml:space="preserve"> </w:t>
      </w:r>
      <w:proofErr w:type="spellStart"/>
      <w:r w:rsidRPr="002E5112">
        <w:rPr>
          <w:rFonts w:ascii="Calibri" w:eastAsia="Calibri" w:hAnsi="Calibri"/>
          <w:i/>
          <w:iCs/>
          <w:sz w:val="24"/>
          <w:szCs w:val="24"/>
          <w:lang w:val="en-US"/>
        </w:rPr>
        <w:t>djelatnosti</w:t>
      </w:r>
      <w:proofErr w:type="spellEnd"/>
      <w:r w:rsidRPr="002E5112">
        <w:rPr>
          <w:rFonts w:ascii="Calibri" w:eastAsia="Calibri" w:hAnsi="Calibri"/>
          <w:i/>
          <w:iCs/>
          <w:sz w:val="24"/>
          <w:szCs w:val="24"/>
          <w:lang w:val="en-US"/>
        </w:rPr>
        <w:t xml:space="preserve"> </w:t>
      </w:r>
      <w:proofErr w:type="spellStart"/>
      <w:r w:rsidRPr="002E5112">
        <w:rPr>
          <w:rFonts w:ascii="Calibri" w:eastAsia="Calibri" w:hAnsi="Calibri"/>
          <w:i/>
          <w:iCs/>
          <w:sz w:val="24"/>
          <w:szCs w:val="24"/>
          <w:lang w:val="en-US"/>
        </w:rPr>
        <w:t>i</w:t>
      </w:r>
      <w:proofErr w:type="spellEnd"/>
      <w:r w:rsidRPr="002E5112">
        <w:rPr>
          <w:rFonts w:ascii="Calibri" w:eastAsia="Calibri" w:hAnsi="Calibri"/>
          <w:i/>
          <w:iCs/>
          <w:sz w:val="24"/>
          <w:szCs w:val="24"/>
          <w:lang w:val="en-US"/>
        </w:rPr>
        <w:t xml:space="preserve"> </w:t>
      </w:r>
      <w:proofErr w:type="spellStart"/>
      <w:r w:rsidRPr="002E5112">
        <w:rPr>
          <w:rFonts w:ascii="Calibri" w:eastAsia="Calibri" w:hAnsi="Calibri"/>
          <w:i/>
          <w:iCs/>
          <w:sz w:val="24"/>
          <w:szCs w:val="24"/>
          <w:lang w:val="en-US"/>
        </w:rPr>
        <w:t>visokom</w:t>
      </w:r>
      <w:proofErr w:type="spellEnd"/>
      <w:r w:rsidRPr="002E5112">
        <w:rPr>
          <w:rFonts w:ascii="Calibri" w:eastAsia="Calibri" w:hAnsi="Calibri"/>
          <w:i/>
          <w:iCs/>
          <w:sz w:val="24"/>
          <w:szCs w:val="24"/>
          <w:lang w:val="en-US"/>
        </w:rPr>
        <w:t xml:space="preserve"> </w:t>
      </w:r>
      <w:proofErr w:type="spellStart"/>
      <w:r w:rsidRPr="002E5112">
        <w:rPr>
          <w:rFonts w:ascii="Calibri" w:eastAsia="Calibri" w:hAnsi="Calibri"/>
          <w:i/>
          <w:iCs/>
          <w:sz w:val="24"/>
          <w:szCs w:val="24"/>
          <w:lang w:val="en-US"/>
        </w:rPr>
        <w:t>obrazovanju</w:t>
      </w:r>
      <w:proofErr w:type="spellEnd"/>
      <w:r w:rsidR="00DA6B42">
        <w:rPr>
          <w:rFonts w:ascii="Calibri" w:eastAsia="Calibri" w:hAnsi="Calibri"/>
          <w:i/>
          <w:iCs/>
          <w:sz w:val="24"/>
          <w:szCs w:val="24"/>
          <w:lang w:val="en-US"/>
        </w:rPr>
        <w:t xml:space="preserve"> </w:t>
      </w:r>
      <w:proofErr w:type="gramStart"/>
      <w:r w:rsidR="00DA6B42">
        <w:rPr>
          <w:rFonts w:ascii="Calibri" w:eastAsia="Calibri" w:hAnsi="Calibri"/>
          <w:i/>
          <w:iCs/>
          <w:sz w:val="24"/>
          <w:szCs w:val="24"/>
          <w:lang w:val="en-US"/>
        </w:rPr>
        <w:t>( NN</w:t>
      </w:r>
      <w:proofErr w:type="gramEnd"/>
      <w:r w:rsidR="00DA6B42">
        <w:rPr>
          <w:rFonts w:ascii="Calibri" w:eastAsia="Calibri" w:hAnsi="Calibri"/>
          <w:i/>
          <w:iCs/>
          <w:sz w:val="24"/>
          <w:szCs w:val="24"/>
          <w:lang w:val="en-US"/>
        </w:rPr>
        <w:t xml:space="preserve"> 119/22, </w:t>
      </w:r>
      <w:proofErr w:type="spellStart"/>
      <w:r w:rsidR="00DA6B42">
        <w:rPr>
          <w:rFonts w:ascii="Calibri" w:eastAsia="Calibri" w:hAnsi="Calibri"/>
          <w:i/>
          <w:iCs/>
          <w:sz w:val="24"/>
          <w:szCs w:val="24"/>
          <w:lang w:val="en-US"/>
        </w:rPr>
        <w:t>dalje</w:t>
      </w:r>
      <w:proofErr w:type="spellEnd"/>
      <w:r w:rsidR="00DA6B42">
        <w:rPr>
          <w:rFonts w:ascii="Calibri" w:eastAsia="Calibri" w:hAnsi="Calibri"/>
          <w:i/>
          <w:iCs/>
          <w:sz w:val="24"/>
          <w:szCs w:val="24"/>
          <w:lang w:val="en-US"/>
        </w:rPr>
        <w:t>: ZVOZD)</w:t>
      </w:r>
    </w:p>
    <w:p w14:paraId="3944D74E" w14:textId="0A4D3A5E" w:rsidR="00560ED1" w:rsidRPr="00B60305" w:rsidRDefault="00DA6B42" w:rsidP="00DA6B42">
      <w:pPr>
        <w:numPr>
          <w:ilvl w:val="0"/>
          <w:numId w:val="18"/>
        </w:numPr>
        <w:suppressAutoHyphens/>
        <w:autoSpaceDN w:val="0"/>
        <w:spacing w:line="251" w:lineRule="auto"/>
        <w:contextualSpacing/>
        <w:jc w:val="both"/>
        <w:rPr>
          <w:rFonts w:ascii="Calibri" w:eastAsia="Calibri" w:hAnsi="Calibri"/>
          <w:lang w:val="en-US"/>
        </w:rPr>
      </w:pPr>
      <w:proofErr w:type="spellStart"/>
      <w:r>
        <w:rPr>
          <w:rFonts w:ascii="Calibri" w:eastAsia="Calibri" w:hAnsi="Calibri"/>
          <w:i/>
          <w:iCs/>
          <w:sz w:val="24"/>
          <w:szCs w:val="24"/>
          <w:lang w:val="en-US"/>
        </w:rPr>
        <w:t>Uredba</w:t>
      </w:r>
      <w:proofErr w:type="spellEnd"/>
      <w:r>
        <w:rPr>
          <w:rFonts w:ascii="Calibri" w:eastAsia="Calibri" w:hAnsi="Calibri"/>
          <w:i/>
          <w:iCs/>
          <w:sz w:val="24"/>
          <w:szCs w:val="24"/>
          <w:lang w:val="en-US"/>
        </w:rPr>
        <w:t xml:space="preserve"> o </w:t>
      </w:r>
      <w:proofErr w:type="spellStart"/>
      <w:r>
        <w:rPr>
          <w:rFonts w:ascii="Calibri" w:eastAsia="Calibri" w:hAnsi="Calibri"/>
          <w:i/>
          <w:iCs/>
          <w:sz w:val="24"/>
          <w:szCs w:val="24"/>
          <w:lang w:val="en-US"/>
        </w:rPr>
        <w:t>programskom</w:t>
      </w:r>
      <w:proofErr w:type="spellEnd"/>
      <w:r>
        <w:rPr>
          <w:rFonts w:ascii="Calibri" w:eastAsia="Calibri" w:hAnsi="Calibri"/>
          <w:i/>
          <w:iCs/>
          <w:sz w:val="24"/>
          <w:szCs w:val="24"/>
          <w:lang w:val="en-US"/>
        </w:rPr>
        <w:t xml:space="preserve"> </w:t>
      </w:r>
      <w:proofErr w:type="spellStart"/>
      <w:r>
        <w:rPr>
          <w:rFonts w:ascii="Calibri" w:eastAsia="Calibri" w:hAnsi="Calibri"/>
          <w:i/>
          <w:iCs/>
          <w:sz w:val="24"/>
          <w:szCs w:val="24"/>
          <w:lang w:val="en-US"/>
        </w:rPr>
        <w:t>financiranju</w:t>
      </w:r>
      <w:proofErr w:type="spellEnd"/>
      <w:r>
        <w:rPr>
          <w:rFonts w:ascii="Calibri" w:eastAsia="Calibri" w:hAnsi="Calibri"/>
          <w:i/>
          <w:iCs/>
          <w:sz w:val="24"/>
          <w:szCs w:val="24"/>
          <w:lang w:val="en-US"/>
        </w:rPr>
        <w:t xml:space="preserve"> </w:t>
      </w:r>
      <w:proofErr w:type="spellStart"/>
      <w:r>
        <w:rPr>
          <w:rFonts w:ascii="Calibri" w:eastAsia="Calibri" w:hAnsi="Calibri"/>
          <w:i/>
          <w:iCs/>
          <w:sz w:val="24"/>
          <w:szCs w:val="24"/>
          <w:lang w:val="en-US"/>
        </w:rPr>
        <w:t>javnih</w:t>
      </w:r>
      <w:proofErr w:type="spellEnd"/>
      <w:r>
        <w:rPr>
          <w:rFonts w:ascii="Calibri" w:eastAsia="Calibri" w:hAnsi="Calibri"/>
          <w:i/>
          <w:iCs/>
          <w:sz w:val="24"/>
          <w:szCs w:val="24"/>
          <w:lang w:val="en-US"/>
        </w:rPr>
        <w:t xml:space="preserve"> </w:t>
      </w:r>
      <w:proofErr w:type="spellStart"/>
      <w:r>
        <w:rPr>
          <w:rFonts w:ascii="Calibri" w:eastAsia="Calibri" w:hAnsi="Calibri"/>
          <w:i/>
          <w:iCs/>
          <w:sz w:val="24"/>
          <w:szCs w:val="24"/>
          <w:lang w:val="en-US"/>
        </w:rPr>
        <w:t>visokih</w:t>
      </w:r>
      <w:proofErr w:type="spellEnd"/>
      <w:r>
        <w:rPr>
          <w:rFonts w:ascii="Calibri" w:eastAsia="Calibri" w:hAnsi="Calibri"/>
          <w:i/>
          <w:iCs/>
          <w:sz w:val="24"/>
          <w:szCs w:val="24"/>
          <w:lang w:val="en-US"/>
        </w:rPr>
        <w:t xml:space="preserve"> </w:t>
      </w:r>
      <w:proofErr w:type="spellStart"/>
      <w:r>
        <w:rPr>
          <w:rFonts w:ascii="Calibri" w:eastAsia="Calibri" w:hAnsi="Calibri"/>
          <w:i/>
          <w:iCs/>
          <w:sz w:val="24"/>
          <w:szCs w:val="24"/>
          <w:lang w:val="en-US"/>
        </w:rPr>
        <w:t>učilišta</w:t>
      </w:r>
      <w:proofErr w:type="spellEnd"/>
      <w:r>
        <w:rPr>
          <w:rFonts w:ascii="Calibri" w:eastAsia="Calibri" w:hAnsi="Calibri"/>
          <w:i/>
          <w:iCs/>
          <w:sz w:val="24"/>
          <w:szCs w:val="24"/>
          <w:lang w:val="en-US"/>
        </w:rPr>
        <w:t xml:space="preserve"> I </w:t>
      </w:r>
      <w:proofErr w:type="spellStart"/>
      <w:r>
        <w:rPr>
          <w:rFonts w:ascii="Calibri" w:eastAsia="Calibri" w:hAnsi="Calibri"/>
          <w:i/>
          <w:iCs/>
          <w:sz w:val="24"/>
          <w:szCs w:val="24"/>
          <w:lang w:val="en-US"/>
        </w:rPr>
        <w:t>javnih</w:t>
      </w:r>
      <w:proofErr w:type="spellEnd"/>
      <w:r>
        <w:rPr>
          <w:rFonts w:ascii="Calibri" w:eastAsia="Calibri" w:hAnsi="Calibri"/>
          <w:i/>
          <w:iCs/>
          <w:sz w:val="24"/>
          <w:szCs w:val="24"/>
          <w:lang w:val="en-US"/>
        </w:rPr>
        <w:t xml:space="preserve"> </w:t>
      </w:r>
      <w:proofErr w:type="spellStart"/>
      <w:r>
        <w:rPr>
          <w:rFonts w:ascii="Calibri" w:eastAsia="Calibri" w:hAnsi="Calibri"/>
          <w:i/>
          <w:iCs/>
          <w:sz w:val="24"/>
          <w:szCs w:val="24"/>
          <w:lang w:val="en-US"/>
        </w:rPr>
        <w:t>znanstvenih</w:t>
      </w:r>
      <w:proofErr w:type="spellEnd"/>
      <w:r>
        <w:rPr>
          <w:rFonts w:ascii="Calibri" w:eastAsia="Calibri" w:hAnsi="Calibri"/>
          <w:i/>
          <w:iCs/>
          <w:sz w:val="24"/>
          <w:szCs w:val="24"/>
          <w:lang w:val="en-US"/>
        </w:rPr>
        <w:t xml:space="preserve"> </w:t>
      </w:r>
      <w:proofErr w:type="spellStart"/>
      <w:r>
        <w:rPr>
          <w:rFonts w:ascii="Calibri" w:eastAsia="Calibri" w:hAnsi="Calibri"/>
          <w:i/>
          <w:iCs/>
          <w:sz w:val="24"/>
          <w:szCs w:val="24"/>
          <w:lang w:val="en-US"/>
        </w:rPr>
        <w:t>instituta</w:t>
      </w:r>
      <w:proofErr w:type="spellEnd"/>
      <w:r>
        <w:rPr>
          <w:rFonts w:ascii="Calibri" w:eastAsia="Calibri" w:hAnsi="Calibri"/>
          <w:i/>
          <w:iCs/>
          <w:sz w:val="24"/>
          <w:szCs w:val="24"/>
          <w:lang w:val="en-US"/>
        </w:rPr>
        <w:t xml:space="preserve"> u </w:t>
      </w:r>
      <w:proofErr w:type="spellStart"/>
      <w:r>
        <w:rPr>
          <w:rFonts w:ascii="Calibri" w:eastAsia="Calibri" w:hAnsi="Calibri"/>
          <w:i/>
          <w:iCs/>
          <w:sz w:val="24"/>
          <w:szCs w:val="24"/>
          <w:lang w:val="en-US"/>
        </w:rPr>
        <w:t>Republici</w:t>
      </w:r>
      <w:proofErr w:type="spellEnd"/>
      <w:r>
        <w:rPr>
          <w:rFonts w:ascii="Calibri" w:eastAsia="Calibri" w:hAnsi="Calibri"/>
          <w:i/>
          <w:iCs/>
          <w:sz w:val="24"/>
          <w:szCs w:val="24"/>
          <w:lang w:val="en-US"/>
        </w:rPr>
        <w:t xml:space="preserve"> </w:t>
      </w:r>
      <w:proofErr w:type="spellStart"/>
      <w:r>
        <w:rPr>
          <w:rFonts w:ascii="Calibri" w:eastAsia="Calibri" w:hAnsi="Calibri"/>
          <w:i/>
          <w:iCs/>
          <w:sz w:val="24"/>
          <w:szCs w:val="24"/>
          <w:lang w:val="en-US"/>
        </w:rPr>
        <w:t>Hrvtaskoj</w:t>
      </w:r>
      <w:proofErr w:type="spellEnd"/>
      <w:r>
        <w:rPr>
          <w:rFonts w:ascii="Calibri" w:eastAsia="Calibri" w:hAnsi="Calibri"/>
          <w:i/>
          <w:iCs/>
          <w:sz w:val="24"/>
          <w:szCs w:val="24"/>
          <w:lang w:val="en-US"/>
        </w:rPr>
        <w:t xml:space="preserve"> </w:t>
      </w:r>
      <w:proofErr w:type="gramStart"/>
      <w:r>
        <w:rPr>
          <w:rFonts w:ascii="Calibri" w:eastAsia="Calibri" w:hAnsi="Calibri"/>
          <w:i/>
          <w:iCs/>
          <w:sz w:val="24"/>
          <w:szCs w:val="24"/>
          <w:lang w:val="en-US"/>
        </w:rPr>
        <w:t>( NN</w:t>
      </w:r>
      <w:proofErr w:type="gramEnd"/>
      <w:r>
        <w:rPr>
          <w:rFonts w:ascii="Calibri" w:eastAsia="Calibri" w:hAnsi="Calibri"/>
          <w:i/>
          <w:iCs/>
          <w:sz w:val="24"/>
          <w:szCs w:val="24"/>
          <w:lang w:val="en-US"/>
        </w:rPr>
        <w:t xml:space="preserve"> 78/23, </w:t>
      </w:r>
      <w:proofErr w:type="spellStart"/>
      <w:r>
        <w:rPr>
          <w:rFonts w:ascii="Calibri" w:eastAsia="Calibri" w:hAnsi="Calibri"/>
          <w:i/>
          <w:iCs/>
          <w:sz w:val="24"/>
          <w:szCs w:val="24"/>
          <w:lang w:val="en-US"/>
        </w:rPr>
        <w:t>dalje</w:t>
      </w:r>
      <w:proofErr w:type="spellEnd"/>
      <w:r>
        <w:rPr>
          <w:rFonts w:ascii="Calibri" w:eastAsia="Calibri" w:hAnsi="Calibri"/>
          <w:i/>
          <w:iCs/>
          <w:sz w:val="24"/>
          <w:szCs w:val="24"/>
          <w:lang w:val="en-US"/>
        </w:rPr>
        <w:t xml:space="preserve">: </w:t>
      </w:r>
      <w:proofErr w:type="spellStart"/>
      <w:r>
        <w:rPr>
          <w:rFonts w:ascii="Calibri" w:eastAsia="Calibri" w:hAnsi="Calibri"/>
          <w:i/>
          <w:iCs/>
          <w:sz w:val="24"/>
          <w:szCs w:val="24"/>
          <w:lang w:val="en-US"/>
        </w:rPr>
        <w:t>Uredba</w:t>
      </w:r>
      <w:proofErr w:type="spellEnd"/>
      <w:r>
        <w:rPr>
          <w:rFonts w:ascii="Calibri" w:eastAsia="Calibri" w:hAnsi="Calibri"/>
          <w:i/>
          <w:iCs/>
          <w:sz w:val="24"/>
          <w:szCs w:val="24"/>
          <w:lang w:val="en-US"/>
        </w:rPr>
        <w:t>)</w:t>
      </w:r>
    </w:p>
    <w:p w14:paraId="46C676BF" w14:textId="77777777" w:rsidR="00560ED1" w:rsidRPr="002E5112" w:rsidRDefault="00560ED1" w:rsidP="00DA6B42">
      <w:pPr>
        <w:suppressAutoHyphens/>
        <w:autoSpaceDN w:val="0"/>
        <w:spacing w:line="251" w:lineRule="auto"/>
        <w:contextualSpacing/>
        <w:jc w:val="both"/>
        <w:rPr>
          <w:rFonts w:ascii="Calibri" w:eastAsia="Calibri" w:hAnsi="Calibri"/>
          <w:lang w:val="en-US"/>
        </w:rPr>
      </w:pPr>
    </w:p>
    <w:tbl>
      <w:tblPr>
        <w:tblW w:w="9923" w:type="dxa"/>
        <w:tblCellMar>
          <w:left w:w="10" w:type="dxa"/>
          <w:right w:w="10" w:type="dxa"/>
        </w:tblCellMar>
        <w:tblLook w:val="04A0" w:firstRow="1" w:lastRow="0" w:firstColumn="1" w:lastColumn="0" w:noHBand="0" w:noVBand="1"/>
      </w:tblPr>
      <w:tblGrid>
        <w:gridCol w:w="2559"/>
        <w:gridCol w:w="2454"/>
        <w:gridCol w:w="2454"/>
        <w:gridCol w:w="2456"/>
      </w:tblGrid>
      <w:tr w:rsidR="00560ED1" w:rsidRPr="002E5112" w14:paraId="456F9ABB" w14:textId="77777777" w:rsidTr="00FF5A8D">
        <w:trPr>
          <w:trHeight w:val="334"/>
        </w:trPr>
        <w:tc>
          <w:tcPr>
            <w:tcW w:w="2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66490" w14:textId="77777777" w:rsidR="00560ED1" w:rsidRPr="002E5112" w:rsidRDefault="00560ED1" w:rsidP="00DA6B42">
            <w:pPr>
              <w:suppressAutoHyphens/>
              <w:autoSpaceDN w:val="0"/>
              <w:spacing w:line="360" w:lineRule="auto"/>
              <w:jc w:val="both"/>
              <w:rPr>
                <w:rFonts w:ascii="Calibri" w:eastAsia="Calibri" w:hAnsi="Calibri"/>
                <w:lang w:val="en-US"/>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CC6B9" w14:textId="38BCD418" w:rsidR="00560ED1" w:rsidRPr="002E5112" w:rsidRDefault="00560ED1" w:rsidP="00DA6B42">
            <w:pPr>
              <w:suppressAutoHyphens/>
              <w:autoSpaceDN w:val="0"/>
              <w:spacing w:line="360" w:lineRule="auto"/>
              <w:jc w:val="both"/>
              <w:rPr>
                <w:rFonts w:ascii="Calibri" w:eastAsia="Calibri" w:hAnsi="Calibri"/>
                <w:lang w:val="en-US"/>
              </w:rPr>
            </w:pPr>
            <w:r w:rsidRPr="002E5112">
              <w:rPr>
                <w:rFonts w:ascii="Calibri" w:eastAsia="Calibri" w:hAnsi="Calibri"/>
                <w:i/>
                <w:iCs/>
                <w:sz w:val="24"/>
                <w:szCs w:val="24"/>
                <w:lang w:val="en-US"/>
              </w:rPr>
              <w:t>Plan 202</w:t>
            </w:r>
            <w:r w:rsidR="00FB374C">
              <w:rPr>
                <w:rFonts w:ascii="Calibri" w:eastAsia="Calibri" w:hAnsi="Calibri"/>
                <w:i/>
                <w:iCs/>
                <w:sz w:val="24"/>
                <w:szCs w:val="24"/>
                <w:lang w:val="en-US"/>
              </w:rPr>
              <w:t>4</w:t>
            </w:r>
            <w:r w:rsidRPr="002E5112">
              <w:rPr>
                <w:rFonts w:ascii="Calibri" w:eastAsia="Calibri" w:hAnsi="Calibri"/>
                <w:i/>
                <w:iCs/>
                <w:sz w:val="24"/>
                <w:szCs w:val="24"/>
                <w:lang w:val="en-US"/>
              </w:rPr>
              <w:t>.</w:t>
            </w: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07BF4" w14:textId="02AB73AB" w:rsidR="00560ED1" w:rsidRPr="002E5112" w:rsidRDefault="00560ED1" w:rsidP="00DA6B42">
            <w:pPr>
              <w:suppressAutoHyphens/>
              <w:autoSpaceDN w:val="0"/>
              <w:spacing w:line="360" w:lineRule="auto"/>
              <w:jc w:val="both"/>
              <w:rPr>
                <w:rFonts w:ascii="Calibri" w:eastAsia="Calibri" w:hAnsi="Calibri"/>
                <w:lang w:val="en-US"/>
              </w:rPr>
            </w:pPr>
            <w:r w:rsidRPr="002E5112">
              <w:rPr>
                <w:rFonts w:ascii="Calibri" w:eastAsia="Calibri" w:hAnsi="Calibri"/>
                <w:i/>
                <w:iCs/>
                <w:sz w:val="24"/>
                <w:szCs w:val="24"/>
                <w:lang w:val="en-US"/>
              </w:rPr>
              <w:t>Plan 202</w:t>
            </w:r>
            <w:r w:rsidR="00FB374C">
              <w:rPr>
                <w:rFonts w:ascii="Calibri" w:eastAsia="Calibri" w:hAnsi="Calibri"/>
                <w:i/>
                <w:iCs/>
                <w:sz w:val="24"/>
                <w:szCs w:val="24"/>
                <w:lang w:val="en-US"/>
              </w:rPr>
              <w:t>5</w:t>
            </w:r>
            <w:r w:rsidRPr="002E5112">
              <w:rPr>
                <w:rFonts w:ascii="Calibri" w:eastAsia="Calibri" w:hAnsi="Calibri"/>
                <w:i/>
                <w:iCs/>
                <w:sz w:val="24"/>
                <w:szCs w:val="24"/>
                <w:lang w:val="en-US"/>
              </w:rPr>
              <w:t>.</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003D4" w14:textId="20456403" w:rsidR="00560ED1" w:rsidRPr="002E5112" w:rsidRDefault="00560ED1" w:rsidP="00DA6B42">
            <w:pPr>
              <w:suppressAutoHyphens/>
              <w:autoSpaceDN w:val="0"/>
              <w:spacing w:line="360" w:lineRule="auto"/>
              <w:jc w:val="both"/>
              <w:rPr>
                <w:rFonts w:ascii="Calibri" w:eastAsia="Calibri" w:hAnsi="Calibri"/>
                <w:lang w:val="en-US"/>
              </w:rPr>
            </w:pPr>
            <w:r w:rsidRPr="002E5112">
              <w:rPr>
                <w:rFonts w:ascii="Calibri" w:eastAsia="Calibri" w:hAnsi="Calibri"/>
                <w:i/>
                <w:iCs/>
                <w:sz w:val="24"/>
                <w:szCs w:val="24"/>
                <w:lang w:val="en-US"/>
              </w:rPr>
              <w:t>Plan 202</w:t>
            </w:r>
            <w:r w:rsidR="00FB374C">
              <w:rPr>
                <w:rFonts w:ascii="Calibri" w:eastAsia="Calibri" w:hAnsi="Calibri"/>
                <w:i/>
                <w:iCs/>
                <w:sz w:val="24"/>
                <w:szCs w:val="24"/>
                <w:lang w:val="en-US"/>
              </w:rPr>
              <w:t>6</w:t>
            </w:r>
            <w:r w:rsidRPr="002E5112">
              <w:rPr>
                <w:rFonts w:ascii="Calibri" w:eastAsia="Calibri" w:hAnsi="Calibri"/>
                <w:i/>
                <w:iCs/>
                <w:sz w:val="24"/>
                <w:szCs w:val="24"/>
                <w:lang w:val="en-US"/>
              </w:rPr>
              <w:t>.</w:t>
            </w:r>
          </w:p>
        </w:tc>
      </w:tr>
      <w:tr w:rsidR="00560ED1" w:rsidRPr="002E5112" w14:paraId="2AEFE297" w14:textId="77777777" w:rsidTr="00FF5A8D">
        <w:trPr>
          <w:trHeight w:val="1574"/>
        </w:trPr>
        <w:tc>
          <w:tcPr>
            <w:tcW w:w="2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8FD30B" w14:textId="77777777" w:rsidR="00560ED1" w:rsidRPr="002E5112" w:rsidRDefault="00560ED1" w:rsidP="00DA6B42">
            <w:pPr>
              <w:suppressAutoHyphens/>
              <w:autoSpaceDN w:val="0"/>
              <w:spacing w:line="276" w:lineRule="auto"/>
              <w:jc w:val="both"/>
              <w:rPr>
                <w:rFonts w:ascii="Calibri" w:eastAsia="Calibri" w:hAnsi="Calibri"/>
                <w:lang w:val="en-US"/>
              </w:rPr>
            </w:pPr>
            <w:r w:rsidRPr="002E5112">
              <w:rPr>
                <w:rFonts w:ascii="Calibri" w:eastAsia="Calibri" w:hAnsi="Calibri"/>
                <w:i/>
                <w:iCs/>
                <w:sz w:val="24"/>
                <w:szCs w:val="24"/>
                <w:lang w:val="en-US"/>
              </w:rPr>
              <w:t>A622122</w:t>
            </w:r>
          </w:p>
          <w:p w14:paraId="59A04867" w14:textId="77777777" w:rsidR="00560ED1" w:rsidRPr="002E5112" w:rsidRDefault="00560ED1" w:rsidP="00DA6B42">
            <w:pPr>
              <w:suppressAutoHyphens/>
              <w:autoSpaceDN w:val="0"/>
              <w:spacing w:line="276" w:lineRule="auto"/>
              <w:jc w:val="both"/>
              <w:rPr>
                <w:rFonts w:ascii="Calibri" w:eastAsia="Calibri" w:hAnsi="Calibri"/>
                <w:lang w:val="en-US"/>
              </w:rPr>
            </w:pPr>
            <w:proofErr w:type="spellStart"/>
            <w:r w:rsidRPr="002E5112">
              <w:rPr>
                <w:rFonts w:ascii="Calibri" w:eastAsia="Calibri" w:hAnsi="Calibri"/>
                <w:i/>
                <w:iCs/>
                <w:sz w:val="24"/>
                <w:szCs w:val="24"/>
                <w:lang w:val="en-US"/>
              </w:rPr>
              <w:t>Programsko</w:t>
            </w:r>
            <w:proofErr w:type="spellEnd"/>
            <w:r w:rsidRPr="002E5112">
              <w:rPr>
                <w:rFonts w:ascii="Calibri" w:eastAsia="Calibri" w:hAnsi="Calibri"/>
                <w:i/>
                <w:iCs/>
                <w:sz w:val="24"/>
                <w:szCs w:val="24"/>
                <w:lang w:val="en-US"/>
              </w:rPr>
              <w:t xml:space="preserve"> </w:t>
            </w:r>
            <w:proofErr w:type="spellStart"/>
            <w:r w:rsidRPr="002E5112">
              <w:rPr>
                <w:rFonts w:ascii="Calibri" w:eastAsia="Calibri" w:hAnsi="Calibri"/>
                <w:i/>
                <w:iCs/>
                <w:sz w:val="24"/>
                <w:szCs w:val="24"/>
                <w:lang w:val="en-US"/>
              </w:rPr>
              <w:t>financiranje</w:t>
            </w:r>
            <w:proofErr w:type="spellEnd"/>
            <w:r w:rsidRPr="002E5112">
              <w:rPr>
                <w:rFonts w:ascii="Calibri" w:eastAsia="Calibri" w:hAnsi="Calibri"/>
                <w:i/>
                <w:iCs/>
                <w:sz w:val="24"/>
                <w:szCs w:val="24"/>
                <w:lang w:val="en-US"/>
              </w:rPr>
              <w:t xml:space="preserve"> </w:t>
            </w:r>
            <w:proofErr w:type="spellStart"/>
            <w:r w:rsidRPr="002E5112">
              <w:rPr>
                <w:rFonts w:ascii="Calibri" w:eastAsia="Calibri" w:hAnsi="Calibri"/>
                <w:i/>
                <w:iCs/>
                <w:sz w:val="24"/>
                <w:szCs w:val="24"/>
                <w:lang w:val="en-US"/>
              </w:rPr>
              <w:t>javnih</w:t>
            </w:r>
            <w:proofErr w:type="spellEnd"/>
            <w:r w:rsidRPr="002E5112">
              <w:rPr>
                <w:rFonts w:ascii="Calibri" w:eastAsia="Calibri" w:hAnsi="Calibri"/>
                <w:i/>
                <w:iCs/>
                <w:sz w:val="24"/>
                <w:szCs w:val="24"/>
                <w:lang w:val="en-US"/>
              </w:rPr>
              <w:t xml:space="preserve"> </w:t>
            </w:r>
            <w:proofErr w:type="spellStart"/>
            <w:r w:rsidRPr="002E5112">
              <w:rPr>
                <w:rFonts w:ascii="Calibri" w:eastAsia="Calibri" w:hAnsi="Calibri"/>
                <w:i/>
                <w:iCs/>
                <w:sz w:val="24"/>
                <w:szCs w:val="24"/>
                <w:lang w:val="en-US"/>
              </w:rPr>
              <w:t>visokih</w:t>
            </w:r>
            <w:proofErr w:type="spellEnd"/>
            <w:r w:rsidRPr="002E5112">
              <w:rPr>
                <w:rFonts w:ascii="Calibri" w:eastAsia="Calibri" w:hAnsi="Calibri"/>
                <w:i/>
                <w:iCs/>
                <w:sz w:val="24"/>
                <w:szCs w:val="24"/>
                <w:lang w:val="en-US"/>
              </w:rPr>
              <w:t xml:space="preserve"> </w:t>
            </w:r>
            <w:proofErr w:type="spellStart"/>
            <w:r w:rsidRPr="002E5112">
              <w:rPr>
                <w:rFonts w:ascii="Calibri" w:eastAsia="Calibri" w:hAnsi="Calibri"/>
                <w:i/>
                <w:iCs/>
                <w:sz w:val="24"/>
                <w:szCs w:val="24"/>
                <w:lang w:val="en-US"/>
              </w:rPr>
              <w:t>učilišta</w:t>
            </w:r>
            <w:proofErr w:type="spellEnd"/>
            <w:r w:rsidRPr="002E5112">
              <w:rPr>
                <w:rFonts w:ascii="Calibri" w:eastAsia="Calibri" w:hAnsi="Calibri"/>
                <w:i/>
                <w:iCs/>
                <w:sz w:val="24"/>
                <w:szCs w:val="24"/>
                <w:lang w:val="en-US"/>
              </w:rPr>
              <w:t xml:space="preserve"> </w:t>
            </w: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67779" w14:textId="1DD96E34" w:rsidR="00560ED1" w:rsidRPr="002E5112" w:rsidRDefault="003B5FE9" w:rsidP="00DA6B42">
            <w:pPr>
              <w:suppressAutoHyphens/>
              <w:autoSpaceDN w:val="0"/>
              <w:spacing w:line="360" w:lineRule="auto"/>
              <w:jc w:val="both"/>
              <w:rPr>
                <w:rFonts w:ascii="Calibri" w:eastAsia="Calibri" w:hAnsi="Calibri"/>
                <w:sz w:val="24"/>
                <w:szCs w:val="24"/>
                <w:lang w:val="en-US"/>
              </w:rPr>
            </w:pPr>
            <w:r>
              <w:rPr>
                <w:rFonts w:ascii="Calibri" w:eastAsia="Calibri" w:hAnsi="Calibri"/>
                <w:sz w:val="24"/>
                <w:szCs w:val="24"/>
                <w:lang w:val="en-US"/>
              </w:rPr>
              <w:t>1.6</w:t>
            </w:r>
            <w:r w:rsidR="00EA7B2B">
              <w:rPr>
                <w:rFonts w:ascii="Calibri" w:eastAsia="Calibri" w:hAnsi="Calibri"/>
                <w:sz w:val="24"/>
                <w:szCs w:val="24"/>
                <w:lang w:val="en-US"/>
              </w:rPr>
              <w:t>23.076</w:t>
            </w:r>
            <w:r w:rsidR="003B59B1">
              <w:rPr>
                <w:rFonts w:ascii="Calibri" w:eastAsia="Calibri" w:hAnsi="Calibri"/>
                <w:sz w:val="24"/>
                <w:szCs w:val="24"/>
                <w:lang w:val="en-US"/>
              </w:rPr>
              <w:t xml:space="preserve"> EUR</w:t>
            </w: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257EB" w14:textId="15D1A629" w:rsidR="00560ED1" w:rsidRPr="002E5112" w:rsidRDefault="003B5FE9" w:rsidP="00DA6B42">
            <w:pPr>
              <w:suppressAutoHyphens/>
              <w:autoSpaceDN w:val="0"/>
              <w:spacing w:line="360" w:lineRule="auto"/>
              <w:jc w:val="both"/>
              <w:rPr>
                <w:rFonts w:ascii="Calibri" w:eastAsia="Calibri" w:hAnsi="Calibri"/>
                <w:sz w:val="24"/>
                <w:szCs w:val="24"/>
                <w:lang w:val="en-US"/>
              </w:rPr>
            </w:pPr>
            <w:r>
              <w:rPr>
                <w:rFonts w:ascii="Calibri" w:eastAsia="Calibri" w:hAnsi="Calibri"/>
                <w:sz w:val="24"/>
                <w:szCs w:val="24"/>
                <w:lang w:val="en-US"/>
              </w:rPr>
              <w:t>1.6</w:t>
            </w:r>
            <w:r w:rsidR="00EA7B2B">
              <w:rPr>
                <w:rFonts w:ascii="Calibri" w:eastAsia="Calibri" w:hAnsi="Calibri"/>
                <w:sz w:val="24"/>
                <w:szCs w:val="24"/>
                <w:lang w:val="en-US"/>
              </w:rPr>
              <w:t>23.076</w:t>
            </w:r>
            <w:r w:rsidR="003B59B1">
              <w:rPr>
                <w:rFonts w:ascii="Calibri" w:eastAsia="Calibri" w:hAnsi="Calibri"/>
                <w:sz w:val="24"/>
                <w:szCs w:val="24"/>
                <w:lang w:val="en-US"/>
              </w:rPr>
              <w:t xml:space="preserve"> EUR</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388B3" w14:textId="6F9BE719" w:rsidR="00560ED1" w:rsidRPr="002E5112" w:rsidRDefault="003B5FE9" w:rsidP="00DA6B42">
            <w:pPr>
              <w:suppressAutoHyphens/>
              <w:autoSpaceDN w:val="0"/>
              <w:spacing w:line="360" w:lineRule="auto"/>
              <w:jc w:val="both"/>
              <w:rPr>
                <w:rFonts w:ascii="Calibri" w:eastAsia="Calibri" w:hAnsi="Calibri"/>
                <w:sz w:val="24"/>
                <w:szCs w:val="24"/>
                <w:lang w:val="en-US"/>
              </w:rPr>
            </w:pPr>
            <w:r>
              <w:rPr>
                <w:rFonts w:ascii="Calibri" w:eastAsia="Calibri" w:hAnsi="Calibri"/>
                <w:sz w:val="24"/>
                <w:szCs w:val="24"/>
                <w:lang w:val="en-US"/>
              </w:rPr>
              <w:t>1.</w:t>
            </w:r>
            <w:r w:rsidR="00FB374C">
              <w:rPr>
                <w:rFonts w:ascii="Calibri" w:eastAsia="Calibri" w:hAnsi="Calibri"/>
                <w:sz w:val="24"/>
                <w:szCs w:val="24"/>
                <w:lang w:val="en-US"/>
              </w:rPr>
              <w:t>6</w:t>
            </w:r>
            <w:r w:rsidR="00EA7B2B">
              <w:rPr>
                <w:rFonts w:ascii="Calibri" w:eastAsia="Calibri" w:hAnsi="Calibri"/>
                <w:sz w:val="24"/>
                <w:szCs w:val="24"/>
                <w:lang w:val="en-US"/>
              </w:rPr>
              <w:t>23.076</w:t>
            </w:r>
            <w:r w:rsidR="003B59B1">
              <w:rPr>
                <w:rFonts w:ascii="Calibri" w:eastAsia="Calibri" w:hAnsi="Calibri"/>
                <w:sz w:val="24"/>
                <w:szCs w:val="24"/>
                <w:lang w:val="en-US"/>
              </w:rPr>
              <w:t xml:space="preserve"> EUR</w:t>
            </w:r>
          </w:p>
        </w:tc>
      </w:tr>
    </w:tbl>
    <w:p w14:paraId="4FD49119" w14:textId="77777777" w:rsidR="00560ED1" w:rsidRDefault="00560ED1" w:rsidP="00DA6B42">
      <w:pPr>
        <w:suppressAutoHyphens/>
        <w:autoSpaceDN w:val="0"/>
        <w:spacing w:line="360" w:lineRule="auto"/>
        <w:jc w:val="both"/>
        <w:rPr>
          <w:rFonts w:ascii="Calibri" w:eastAsia="Calibri" w:hAnsi="Calibri"/>
          <w:i/>
          <w:iCs/>
          <w:sz w:val="24"/>
          <w:szCs w:val="24"/>
          <w:lang w:val="en-US"/>
        </w:rPr>
      </w:pPr>
    </w:p>
    <w:p w14:paraId="4D55A45E" w14:textId="6E01365C" w:rsidR="00DA6B42" w:rsidRPr="00DA6B42" w:rsidRDefault="00DA6B42" w:rsidP="00120537">
      <w:pPr>
        <w:suppressAutoHyphens/>
        <w:autoSpaceDN w:val="0"/>
        <w:spacing w:line="276" w:lineRule="auto"/>
        <w:jc w:val="both"/>
        <w:rPr>
          <w:rFonts w:cstheme="minorHAnsi"/>
          <w:sz w:val="24"/>
          <w:szCs w:val="24"/>
        </w:rPr>
      </w:pPr>
      <w:r w:rsidRPr="00DA6B42">
        <w:rPr>
          <w:rFonts w:cstheme="minorHAnsi"/>
          <w:sz w:val="24"/>
          <w:szCs w:val="24"/>
        </w:rPr>
        <w:t xml:space="preserve">Stavke programskog financiranja javnih visokih učilišta obuhvaćaju osnovnu proračunsku komponentu (plaće i materijalna prava zaposlenih, materijalne troškove poslovanja, sredstva za tekuće i investicijsko održavanje, nastavne, znanstvene i umjetničke infrastrukture, izdatke za obavljanje znanstvene odnosno umjetničke i stručne djelatnosti, sredstva za znanstveno i stručno osposobljavanje i usavršavanje, izdatke za studentski standard, sredstva za izdavačku djelatnost, sredstva za druge osnovne troškove), razvojnu proračunsku komponentu (modernizaciju studijskih programa, razvoj usluga za potporu studentima i unaprjeđivanje studentskog standarda, internacionalizaciju rezultata znanstvenih i umjetničkih projekata i programa, razvoj programa kojima se jača društveni angažman visokog učilišta u zajednici, s posebnim naglaskom na jačanje različitosti, pravičnosti i socijalne uključivosti u visokom obrazovanju i znanosti, poticanje međunarodne mobilnosti i međunarodne međuinstitucionalne suradnje s posebnom podrškom uključivanju u mreže sveučilišta u sklopu inicijative europskih sveučilišta, izgradnju nove i okrupnjavanje postojeće nastavne, znanstvene i umjetničke infrastrukture, razvoj programa od posebnog utjecaja na gospodarstvo i društveni razvoj, provedbu projekata od interesa za Republiku Hrvatsku, organizacijsku i funkcionalnu integraciju javnih visokih učilišta, upravljanje intelektualnim vlasništvom i komercijalizaciju rezultata istraživanja, znanstvenih projekata i programa, ostvarivanje drugih ciljeva u skladu s nacionalnim strateškim smjernicama i strategijom razvoja javnog visokog učilišta) i izvedbenu proračunsku komponentu (sredstva državnog proračuna Republike Hrvatske koja se doznačuju javnom visokom učilištu na temelju uspješnosti ostvarivanja ciljeva i pokazatelja utvrđenih programskim ugovorom) koje se utvrđuju u postupku pregovaranja o programskom ugovoru. Prihodi za školarine, u očekivanju programskih ugovora planirani su prema ZVOZD-u, Uredbi, Privremenoj odluci PMF-a, KLASA:  602-04/23-01/83, URBROJ: 251-58-10203-23-1 od 22. rujna 2023. o participaciji u troškovima studija na svim prijediplomskim, diplomskim te integriranim prijediplomskim i diplomskim sveučilišnim studijima na PMF-u (cijena 1 ECTS boda 18,58 EUR (što prema </w:t>
      </w:r>
      <w:r w:rsidRPr="00DA6B42">
        <w:rPr>
          <w:rFonts w:cstheme="minorHAnsi"/>
          <w:sz w:val="24"/>
          <w:szCs w:val="24"/>
        </w:rPr>
        <w:lastRenderedPageBreak/>
        <w:t>fiksnom tečaju konverzije 1 EUR=7,53450 HRK iznosi 140 HRK) te prethodno važećim aktima (Odluka Vlade RH o programskom financiranju javnih visokih učilišta u akademskim godinama 2018./2019.,2019./2020., 2020./2021. i 2021./2022. (NN 87/2018)) i Odluka MZO-a o financiranju javnih visokih učilišta u RH u akademskoj godini 2022./2023., KLASA: 602-04/22-10/00115, URBROJ: 533-04-22-0002 od 7. studenoga 2022.).</w:t>
      </w:r>
    </w:p>
    <w:p w14:paraId="033DD694" w14:textId="4FC4D614" w:rsidR="00C97C02" w:rsidRDefault="00F87AAC" w:rsidP="00DA6B42">
      <w:pPr>
        <w:suppressAutoHyphens/>
        <w:autoSpaceDN w:val="0"/>
        <w:spacing w:line="360" w:lineRule="auto"/>
        <w:jc w:val="both"/>
        <w:rPr>
          <w:rFonts w:ascii="Calibri" w:eastAsia="Calibri" w:hAnsi="Calibri"/>
          <w:sz w:val="24"/>
          <w:szCs w:val="24"/>
          <w:lang w:val="en-US"/>
        </w:rPr>
      </w:pPr>
      <w:r>
        <w:rPr>
          <w:rFonts w:cstheme="minorHAnsi"/>
          <w:color w:val="333333"/>
          <w:sz w:val="24"/>
          <w:szCs w:val="24"/>
        </w:rPr>
        <w:t>Sredstva za 2024. godinu planirana su s uvećanjem u odnosu na 2023. za 0,78 %, a projekcije za 2025. i 2026. su jednake planu za 2024.</w:t>
      </w:r>
      <w:bookmarkStart w:id="2" w:name="_Hlk82606963"/>
    </w:p>
    <w:p w14:paraId="633C5DDF" w14:textId="77777777" w:rsidR="00F32C01" w:rsidRPr="00F32C01" w:rsidRDefault="00F32C01" w:rsidP="00DA6B42">
      <w:pPr>
        <w:suppressAutoHyphens/>
        <w:autoSpaceDN w:val="0"/>
        <w:spacing w:line="360" w:lineRule="auto"/>
        <w:jc w:val="both"/>
        <w:rPr>
          <w:rFonts w:ascii="Calibri" w:eastAsia="Calibri" w:hAnsi="Calibri"/>
          <w:sz w:val="24"/>
          <w:szCs w:val="24"/>
          <w:lang w:val="en-US"/>
        </w:rPr>
      </w:pPr>
    </w:p>
    <w:bookmarkEnd w:id="2"/>
    <w:p w14:paraId="1286E7F6" w14:textId="77777777" w:rsidR="00560ED1" w:rsidRPr="00112792" w:rsidRDefault="00560ED1" w:rsidP="00DA6B42">
      <w:pPr>
        <w:suppressAutoHyphens/>
        <w:autoSpaceDN w:val="0"/>
        <w:spacing w:line="247" w:lineRule="auto"/>
        <w:jc w:val="both"/>
        <w:rPr>
          <w:rFonts w:ascii="Calibri" w:eastAsia="Calibri" w:hAnsi="Calibri"/>
          <w:b/>
          <w:bCs/>
          <w:sz w:val="28"/>
          <w:szCs w:val="28"/>
          <w:lang w:val="en-US"/>
        </w:rPr>
      </w:pPr>
      <w:r w:rsidRPr="00112792">
        <w:rPr>
          <w:rFonts w:ascii="Calibri" w:eastAsia="Calibri" w:hAnsi="Calibri"/>
          <w:b/>
          <w:bCs/>
          <w:sz w:val="28"/>
          <w:szCs w:val="28"/>
          <w:lang w:val="en-US"/>
        </w:rPr>
        <w:t xml:space="preserve">A621038 </w:t>
      </w:r>
      <w:proofErr w:type="spellStart"/>
      <w:r w:rsidRPr="00112792">
        <w:rPr>
          <w:rFonts w:ascii="Calibri" w:eastAsia="Calibri" w:hAnsi="Calibri"/>
          <w:b/>
          <w:bCs/>
          <w:sz w:val="28"/>
          <w:szCs w:val="28"/>
          <w:lang w:val="en-US"/>
        </w:rPr>
        <w:t>Programi</w:t>
      </w:r>
      <w:proofErr w:type="spellEnd"/>
      <w:r w:rsidRPr="00112792">
        <w:rPr>
          <w:rFonts w:ascii="Calibri" w:eastAsia="Calibri" w:hAnsi="Calibri"/>
          <w:b/>
          <w:bCs/>
          <w:sz w:val="28"/>
          <w:szCs w:val="28"/>
          <w:lang w:val="en-US"/>
        </w:rPr>
        <w:t xml:space="preserve"> </w:t>
      </w:r>
      <w:proofErr w:type="spellStart"/>
      <w:r w:rsidRPr="00112792">
        <w:rPr>
          <w:rFonts w:ascii="Calibri" w:eastAsia="Calibri" w:hAnsi="Calibri"/>
          <w:b/>
          <w:bCs/>
          <w:sz w:val="28"/>
          <w:szCs w:val="28"/>
          <w:lang w:val="en-US"/>
        </w:rPr>
        <w:t>vježbaonica</w:t>
      </w:r>
      <w:proofErr w:type="spellEnd"/>
      <w:r w:rsidRPr="00112792">
        <w:rPr>
          <w:rFonts w:ascii="Calibri" w:eastAsia="Calibri" w:hAnsi="Calibri"/>
          <w:b/>
          <w:bCs/>
          <w:sz w:val="28"/>
          <w:szCs w:val="28"/>
          <w:lang w:val="en-US"/>
        </w:rPr>
        <w:t xml:space="preserve"> </w:t>
      </w:r>
      <w:proofErr w:type="spellStart"/>
      <w:r w:rsidRPr="00112792">
        <w:rPr>
          <w:rFonts w:ascii="Calibri" w:eastAsia="Calibri" w:hAnsi="Calibri"/>
          <w:b/>
          <w:bCs/>
          <w:sz w:val="28"/>
          <w:szCs w:val="28"/>
          <w:lang w:val="en-US"/>
        </w:rPr>
        <w:t>visokih</w:t>
      </w:r>
      <w:proofErr w:type="spellEnd"/>
      <w:r w:rsidRPr="00112792">
        <w:rPr>
          <w:rFonts w:ascii="Calibri" w:eastAsia="Calibri" w:hAnsi="Calibri"/>
          <w:b/>
          <w:bCs/>
          <w:sz w:val="28"/>
          <w:szCs w:val="28"/>
          <w:lang w:val="en-US"/>
        </w:rPr>
        <w:t xml:space="preserve"> </w:t>
      </w:r>
      <w:proofErr w:type="spellStart"/>
      <w:r w:rsidRPr="00112792">
        <w:rPr>
          <w:rFonts w:ascii="Calibri" w:eastAsia="Calibri" w:hAnsi="Calibri"/>
          <w:b/>
          <w:bCs/>
          <w:sz w:val="28"/>
          <w:szCs w:val="28"/>
          <w:lang w:val="en-US"/>
        </w:rPr>
        <w:t>učilišta</w:t>
      </w:r>
      <w:proofErr w:type="spellEnd"/>
      <w:r>
        <w:rPr>
          <w:rFonts w:ascii="Calibri" w:eastAsia="Calibri" w:hAnsi="Calibri"/>
          <w:b/>
          <w:bCs/>
          <w:sz w:val="28"/>
          <w:szCs w:val="28"/>
          <w:lang w:val="en-US"/>
        </w:rPr>
        <w:t xml:space="preserve"> (</w:t>
      </w:r>
      <w:proofErr w:type="spellStart"/>
      <w:r>
        <w:rPr>
          <w:rFonts w:ascii="Calibri" w:eastAsia="Calibri" w:hAnsi="Calibri"/>
          <w:b/>
          <w:bCs/>
          <w:sz w:val="28"/>
          <w:szCs w:val="28"/>
          <w:lang w:val="en-US"/>
        </w:rPr>
        <w:t>mentorska</w:t>
      </w:r>
      <w:proofErr w:type="spellEnd"/>
      <w:r>
        <w:rPr>
          <w:rFonts w:ascii="Calibri" w:eastAsia="Calibri" w:hAnsi="Calibri"/>
          <w:b/>
          <w:bCs/>
          <w:sz w:val="28"/>
          <w:szCs w:val="28"/>
          <w:lang w:val="en-US"/>
        </w:rPr>
        <w:t xml:space="preserve"> </w:t>
      </w:r>
      <w:proofErr w:type="spellStart"/>
      <w:r>
        <w:rPr>
          <w:rFonts w:ascii="Calibri" w:eastAsia="Calibri" w:hAnsi="Calibri"/>
          <w:b/>
          <w:bCs/>
          <w:sz w:val="28"/>
          <w:szCs w:val="28"/>
          <w:lang w:val="en-US"/>
        </w:rPr>
        <w:t>nastava</w:t>
      </w:r>
      <w:proofErr w:type="spellEnd"/>
      <w:r>
        <w:rPr>
          <w:rFonts w:ascii="Calibri" w:eastAsia="Calibri" w:hAnsi="Calibri"/>
          <w:b/>
          <w:bCs/>
          <w:sz w:val="28"/>
          <w:szCs w:val="28"/>
          <w:lang w:val="en-US"/>
        </w:rPr>
        <w:t>)</w:t>
      </w:r>
    </w:p>
    <w:p w14:paraId="5C7D7433" w14:textId="77777777" w:rsidR="00560ED1" w:rsidRPr="00CC2200" w:rsidRDefault="00560ED1" w:rsidP="00DA6B42">
      <w:pPr>
        <w:suppressAutoHyphens/>
        <w:autoSpaceDN w:val="0"/>
        <w:spacing w:line="247" w:lineRule="auto"/>
        <w:jc w:val="both"/>
        <w:rPr>
          <w:rFonts w:ascii="Calibri" w:eastAsia="Calibri" w:hAnsi="Calibri"/>
          <w:sz w:val="24"/>
          <w:szCs w:val="24"/>
          <w:lang w:val="en-US"/>
        </w:rPr>
      </w:pPr>
      <w:proofErr w:type="spellStart"/>
      <w:r w:rsidRPr="008E4240">
        <w:rPr>
          <w:rFonts w:ascii="Calibri" w:eastAsia="Calibri" w:hAnsi="Calibri"/>
          <w:i/>
          <w:iCs/>
          <w:sz w:val="24"/>
          <w:szCs w:val="24"/>
          <w:lang w:val="en-US"/>
        </w:rPr>
        <w:t>Zakonske</w:t>
      </w:r>
      <w:proofErr w:type="spellEnd"/>
      <w:r w:rsidRPr="008E4240">
        <w:rPr>
          <w:rFonts w:ascii="Calibri" w:eastAsia="Calibri" w:hAnsi="Calibri"/>
          <w:i/>
          <w:iCs/>
          <w:sz w:val="24"/>
          <w:szCs w:val="24"/>
          <w:lang w:val="en-US"/>
        </w:rPr>
        <w:t xml:space="preserve"> </w:t>
      </w:r>
      <w:proofErr w:type="spellStart"/>
      <w:r w:rsidRPr="008E4240">
        <w:rPr>
          <w:rFonts w:ascii="Calibri" w:eastAsia="Calibri" w:hAnsi="Calibri"/>
          <w:i/>
          <w:iCs/>
          <w:sz w:val="24"/>
          <w:szCs w:val="24"/>
          <w:lang w:val="en-US"/>
        </w:rPr>
        <w:t>i</w:t>
      </w:r>
      <w:proofErr w:type="spellEnd"/>
      <w:r w:rsidRPr="008E4240">
        <w:rPr>
          <w:rFonts w:ascii="Calibri" w:eastAsia="Calibri" w:hAnsi="Calibri"/>
          <w:i/>
          <w:iCs/>
          <w:sz w:val="24"/>
          <w:szCs w:val="24"/>
          <w:lang w:val="en-US"/>
        </w:rPr>
        <w:t xml:space="preserve"> </w:t>
      </w:r>
      <w:proofErr w:type="spellStart"/>
      <w:r w:rsidRPr="008E4240">
        <w:rPr>
          <w:rFonts w:ascii="Calibri" w:eastAsia="Calibri" w:hAnsi="Calibri"/>
          <w:i/>
          <w:iCs/>
          <w:sz w:val="24"/>
          <w:szCs w:val="24"/>
          <w:lang w:val="en-US"/>
        </w:rPr>
        <w:t>druge</w:t>
      </w:r>
      <w:proofErr w:type="spellEnd"/>
      <w:r w:rsidRPr="008E4240">
        <w:rPr>
          <w:rFonts w:ascii="Calibri" w:eastAsia="Calibri" w:hAnsi="Calibri"/>
          <w:i/>
          <w:iCs/>
          <w:sz w:val="24"/>
          <w:szCs w:val="24"/>
          <w:lang w:val="en-US"/>
        </w:rPr>
        <w:t xml:space="preserve"> </w:t>
      </w:r>
      <w:proofErr w:type="spellStart"/>
      <w:r w:rsidRPr="008E4240">
        <w:rPr>
          <w:rFonts w:ascii="Calibri" w:eastAsia="Calibri" w:hAnsi="Calibri"/>
          <w:i/>
          <w:iCs/>
          <w:sz w:val="24"/>
          <w:szCs w:val="24"/>
          <w:lang w:val="en-US"/>
        </w:rPr>
        <w:t>pravne</w:t>
      </w:r>
      <w:proofErr w:type="spellEnd"/>
      <w:r w:rsidRPr="008E4240">
        <w:rPr>
          <w:rFonts w:ascii="Calibri" w:eastAsia="Calibri" w:hAnsi="Calibri"/>
          <w:i/>
          <w:iCs/>
          <w:sz w:val="24"/>
          <w:szCs w:val="24"/>
          <w:lang w:val="en-US"/>
        </w:rPr>
        <w:t xml:space="preserve"> </w:t>
      </w:r>
      <w:proofErr w:type="spellStart"/>
      <w:r w:rsidRPr="008E4240">
        <w:rPr>
          <w:rFonts w:ascii="Calibri" w:eastAsia="Calibri" w:hAnsi="Calibri"/>
          <w:i/>
          <w:iCs/>
          <w:sz w:val="24"/>
          <w:szCs w:val="24"/>
          <w:lang w:val="en-US"/>
        </w:rPr>
        <w:t>osnove</w:t>
      </w:r>
      <w:proofErr w:type="spellEnd"/>
    </w:p>
    <w:p w14:paraId="4002F261" w14:textId="47F3515B" w:rsidR="009A4C57" w:rsidRPr="000C443E" w:rsidRDefault="009A4C57" w:rsidP="00DA6B42">
      <w:pPr>
        <w:pStyle w:val="ListParagraph"/>
        <w:numPr>
          <w:ilvl w:val="0"/>
          <w:numId w:val="19"/>
        </w:numPr>
        <w:jc w:val="both"/>
        <w:rPr>
          <w:rFonts w:eastAsia="Calibri" w:cstheme="minorHAnsi"/>
          <w:sz w:val="24"/>
          <w:szCs w:val="24"/>
          <w:lang w:val="en-US"/>
        </w:rPr>
      </w:pPr>
      <w:r w:rsidRPr="000C443E">
        <w:rPr>
          <w:rFonts w:eastAsia="Calibri" w:cstheme="minorHAnsi"/>
          <w:sz w:val="24"/>
          <w:szCs w:val="24"/>
          <w:lang w:val="en-US"/>
        </w:rPr>
        <w:t xml:space="preserve">Zakon o </w:t>
      </w:r>
      <w:proofErr w:type="spellStart"/>
      <w:r w:rsidRPr="000C443E">
        <w:rPr>
          <w:rFonts w:eastAsia="Calibri" w:cstheme="minorHAnsi"/>
          <w:sz w:val="24"/>
          <w:szCs w:val="24"/>
          <w:lang w:val="en-US"/>
        </w:rPr>
        <w:t>znanstvenoj</w:t>
      </w:r>
      <w:proofErr w:type="spellEnd"/>
      <w:r w:rsidRPr="000C443E">
        <w:rPr>
          <w:rFonts w:eastAsia="Calibri" w:cstheme="minorHAnsi"/>
          <w:sz w:val="24"/>
          <w:szCs w:val="24"/>
          <w:lang w:val="en-US"/>
        </w:rPr>
        <w:t xml:space="preserve"> </w:t>
      </w:r>
      <w:proofErr w:type="spellStart"/>
      <w:r w:rsidRPr="000C443E">
        <w:rPr>
          <w:rFonts w:eastAsia="Calibri" w:cstheme="minorHAnsi"/>
          <w:sz w:val="24"/>
          <w:szCs w:val="24"/>
          <w:lang w:val="en-US"/>
        </w:rPr>
        <w:t>djelatnosti</w:t>
      </w:r>
      <w:proofErr w:type="spellEnd"/>
      <w:r w:rsidRPr="000C443E">
        <w:rPr>
          <w:rFonts w:eastAsia="Calibri" w:cstheme="minorHAnsi"/>
          <w:sz w:val="24"/>
          <w:szCs w:val="24"/>
          <w:lang w:val="en-US"/>
        </w:rPr>
        <w:t xml:space="preserve"> </w:t>
      </w:r>
      <w:proofErr w:type="spellStart"/>
      <w:r w:rsidRPr="000C443E">
        <w:rPr>
          <w:rFonts w:eastAsia="Calibri" w:cstheme="minorHAnsi"/>
          <w:sz w:val="24"/>
          <w:szCs w:val="24"/>
          <w:lang w:val="en-US"/>
        </w:rPr>
        <w:t>i</w:t>
      </w:r>
      <w:proofErr w:type="spellEnd"/>
      <w:r w:rsidRPr="000C443E">
        <w:rPr>
          <w:rFonts w:eastAsia="Calibri" w:cstheme="minorHAnsi"/>
          <w:sz w:val="24"/>
          <w:szCs w:val="24"/>
          <w:lang w:val="en-US"/>
        </w:rPr>
        <w:t xml:space="preserve"> </w:t>
      </w:r>
      <w:proofErr w:type="spellStart"/>
      <w:r w:rsidRPr="000C443E">
        <w:rPr>
          <w:rFonts w:eastAsia="Calibri" w:cstheme="minorHAnsi"/>
          <w:sz w:val="24"/>
          <w:szCs w:val="24"/>
          <w:lang w:val="en-US"/>
        </w:rPr>
        <w:t>visokom</w:t>
      </w:r>
      <w:proofErr w:type="spellEnd"/>
      <w:r w:rsidRPr="000C443E">
        <w:rPr>
          <w:rFonts w:eastAsia="Calibri" w:cstheme="minorHAnsi"/>
          <w:sz w:val="24"/>
          <w:szCs w:val="24"/>
          <w:lang w:val="en-US"/>
        </w:rPr>
        <w:t xml:space="preserve"> </w:t>
      </w:r>
      <w:proofErr w:type="spellStart"/>
      <w:r w:rsidRPr="000C443E">
        <w:rPr>
          <w:rFonts w:eastAsia="Calibri" w:cstheme="minorHAnsi"/>
          <w:sz w:val="24"/>
          <w:szCs w:val="24"/>
          <w:lang w:val="en-US"/>
        </w:rPr>
        <w:t>obrazovanju</w:t>
      </w:r>
      <w:proofErr w:type="spellEnd"/>
      <w:r w:rsidRPr="000C443E">
        <w:rPr>
          <w:rFonts w:eastAsia="Calibri" w:cstheme="minorHAnsi"/>
          <w:sz w:val="24"/>
          <w:szCs w:val="24"/>
          <w:lang w:val="en-US"/>
        </w:rPr>
        <w:t xml:space="preserve"> (NN br. 123/2003, 198/2003, 105/2004, 174/2004, 2/2007, 46/2007, 45/2009, 45/2009, 63/2011, 94/2013, 139/2013, 101/2014, 60/2015, 131/2017</w:t>
      </w:r>
      <w:r w:rsidR="008E4240">
        <w:rPr>
          <w:rFonts w:eastAsia="Calibri" w:cstheme="minorHAnsi"/>
          <w:sz w:val="24"/>
          <w:szCs w:val="24"/>
          <w:lang w:val="en-US"/>
        </w:rPr>
        <w:t xml:space="preserve">, </w:t>
      </w:r>
      <w:r w:rsidR="008E4240" w:rsidRPr="007E6B4A">
        <w:rPr>
          <w:rFonts w:cstheme="minorHAnsi"/>
          <w:sz w:val="24"/>
          <w:szCs w:val="24"/>
        </w:rPr>
        <w:t>96/2018, 119/2022</w:t>
      </w:r>
      <w:r w:rsidRPr="000C443E">
        <w:rPr>
          <w:rFonts w:eastAsia="Calibri" w:cstheme="minorHAnsi"/>
          <w:sz w:val="24"/>
          <w:szCs w:val="24"/>
          <w:lang w:val="en-US"/>
        </w:rPr>
        <w:t xml:space="preserve">) </w:t>
      </w:r>
    </w:p>
    <w:p w14:paraId="46E3109F" w14:textId="00C4BF5F" w:rsidR="00560ED1" w:rsidRPr="00CC2200" w:rsidRDefault="00560ED1" w:rsidP="00DA6B42">
      <w:pPr>
        <w:numPr>
          <w:ilvl w:val="0"/>
          <w:numId w:val="19"/>
        </w:numPr>
        <w:suppressAutoHyphens/>
        <w:autoSpaceDN w:val="0"/>
        <w:spacing w:line="247" w:lineRule="auto"/>
        <w:contextualSpacing/>
        <w:jc w:val="both"/>
        <w:rPr>
          <w:rFonts w:ascii="Calibri" w:eastAsia="Calibri" w:hAnsi="Calibri"/>
          <w:sz w:val="24"/>
          <w:szCs w:val="24"/>
          <w:lang w:val="en-US"/>
        </w:rPr>
      </w:pPr>
      <w:r w:rsidRPr="00CC2200">
        <w:rPr>
          <w:rFonts w:ascii="Calibri" w:eastAsia="Calibri" w:hAnsi="Calibri"/>
          <w:sz w:val="24"/>
          <w:szCs w:val="24"/>
          <w:lang w:val="en-US"/>
        </w:rPr>
        <w:t xml:space="preserve">Zakon o </w:t>
      </w:r>
      <w:proofErr w:type="spellStart"/>
      <w:r w:rsidRPr="00CC2200">
        <w:rPr>
          <w:rFonts w:ascii="Calibri" w:eastAsia="Calibri" w:hAnsi="Calibri"/>
          <w:sz w:val="24"/>
          <w:szCs w:val="24"/>
          <w:lang w:val="en-US"/>
        </w:rPr>
        <w:t>osiguravanju</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kvalitete</w:t>
      </w:r>
      <w:proofErr w:type="spellEnd"/>
      <w:r w:rsidRPr="00CC2200">
        <w:rPr>
          <w:rFonts w:ascii="Calibri" w:eastAsia="Calibri" w:hAnsi="Calibri"/>
          <w:sz w:val="24"/>
          <w:szCs w:val="24"/>
          <w:lang w:val="en-US"/>
        </w:rPr>
        <w:t xml:space="preserve"> u </w:t>
      </w:r>
      <w:proofErr w:type="spellStart"/>
      <w:r w:rsidRPr="00CC2200">
        <w:rPr>
          <w:rFonts w:ascii="Calibri" w:eastAsia="Calibri" w:hAnsi="Calibri"/>
          <w:sz w:val="24"/>
          <w:szCs w:val="24"/>
          <w:lang w:val="en-US"/>
        </w:rPr>
        <w:t>znanosti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visokom</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obrazovanju</w:t>
      </w:r>
      <w:proofErr w:type="spellEnd"/>
      <w:r w:rsidRPr="00CC2200">
        <w:rPr>
          <w:rFonts w:ascii="Calibri" w:eastAsia="Calibri" w:hAnsi="Calibri"/>
          <w:sz w:val="24"/>
          <w:szCs w:val="24"/>
          <w:lang w:val="en-US"/>
        </w:rPr>
        <w:t xml:space="preserve"> (NN 45/2009</w:t>
      </w:r>
      <w:r w:rsidR="008E4240">
        <w:rPr>
          <w:rFonts w:ascii="Calibri" w:eastAsia="Calibri" w:hAnsi="Calibri"/>
          <w:sz w:val="24"/>
          <w:szCs w:val="24"/>
          <w:lang w:val="en-US"/>
        </w:rPr>
        <w:t>, 151/2022</w:t>
      </w:r>
      <w:r w:rsidRPr="00CC2200">
        <w:rPr>
          <w:rFonts w:ascii="Calibri" w:eastAsia="Calibri" w:hAnsi="Calibri"/>
          <w:sz w:val="24"/>
          <w:szCs w:val="24"/>
          <w:lang w:val="en-US"/>
        </w:rPr>
        <w:t>)</w:t>
      </w:r>
    </w:p>
    <w:p w14:paraId="10017224" w14:textId="16EE4C52" w:rsidR="00560ED1" w:rsidRPr="00CC2200" w:rsidRDefault="00560ED1" w:rsidP="00DA6B42">
      <w:pPr>
        <w:numPr>
          <w:ilvl w:val="0"/>
          <w:numId w:val="19"/>
        </w:numPr>
        <w:suppressAutoHyphens/>
        <w:autoSpaceDN w:val="0"/>
        <w:spacing w:line="247" w:lineRule="auto"/>
        <w:contextualSpacing/>
        <w:jc w:val="both"/>
        <w:rPr>
          <w:rFonts w:ascii="Calibri" w:eastAsia="Calibri" w:hAnsi="Calibri"/>
          <w:sz w:val="24"/>
          <w:szCs w:val="24"/>
          <w:lang w:val="en-US"/>
        </w:rPr>
      </w:pPr>
      <w:proofErr w:type="spellStart"/>
      <w:r w:rsidRPr="00CC2200">
        <w:rPr>
          <w:rFonts w:ascii="Calibri" w:eastAsia="Calibri" w:hAnsi="Calibri"/>
          <w:sz w:val="24"/>
          <w:szCs w:val="24"/>
          <w:lang w:val="en-US"/>
        </w:rPr>
        <w:t>Izvedbeni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nastavni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planovi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i</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program</w:t>
      </w:r>
      <w:r w:rsidR="008E4240">
        <w:rPr>
          <w:rFonts w:ascii="Calibri" w:eastAsia="Calibri" w:hAnsi="Calibri"/>
          <w:sz w:val="24"/>
          <w:szCs w:val="24"/>
          <w:lang w:val="en-US"/>
        </w:rPr>
        <w:t>i</w:t>
      </w:r>
      <w:proofErr w:type="spellEnd"/>
    </w:p>
    <w:p w14:paraId="22848268" w14:textId="77777777" w:rsidR="00560ED1" w:rsidRPr="00112792" w:rsidRDefault="00560ED1" w:rsidP="00DA6B42">
      <w:pPr>
        <w:suppressAutoHyphens/>
        <w:autoSpaceDN w:val="0"/>
        <w:spacing w:line="247" w:lineRule="auto"/>
        <w:ind w:left="720"/>
        <w:contextualSpacing/>
        <w:jc w:val="both"/>
        <w:rPr>
          <w:rFonts w:ascii="Calibri" w:eastAsia="Calibri" w:hAnsi="Calibri"/>
          <w:lang w:val="en-US"/>
        </w:rPr>
      </w:pPr>
    </w:p>
    <w:tbl>
      <w:tblPr>
        <w:tblW w:w="9410" w:type="dxa"/>
        <w:tblCellMar>
          <w:left w:w="10" w:type="dxa"/>
          <w:right w:w="10" w:type="dxa"/>
        </w:tblCellMar>
        <w:tblLook w:val="04A0" w:firstRow="1" w:lastRow="0" w:firstColumn="1" w:lastColumn="0" w:noHBand="0" w:noVBand="1"/>
      </w:tblPr>
      <w:tblGrid>
        <w:gridCol w:w="2352"/>
        <w:gridCol w:w="2352"/>
        <w:gridCol w:w="2352"/>
        <w:gridCol w:w="2354"/>
      </w:tblGrid>
      <w:tr w:rsidR="00560ED1" w:rsidRPr="00112792" w14:paraId="5BA094A7" w14:textId="77777777" w:rsidTr="00FF5A8D">
        <w:trPr>
          <w:trHeight w:val="220"/>
        </w:trPr>
        <w:tc>
          <w:tcPr>
            <w:tcW w:w="2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B9384" w14:textId="77777777" w:rsidR="00560ED1" w:rsidRPr="00112792" w:rsidRDefault="00560ED1" w:rsidP="00DA6B42">
            <w:pPr>
              <w:suppressAutoHyphens/>
              <w:autoSpaceDN w:val="0"/>
              <w:jc w:val="both"/>
              <w:rPr>
                <w:rFonts w:ascii="Calibri" w:eastAsia="Calibri" w:hAnsi="Calibri"/>
                <w:lang w:val="en-US"/>
              </w:rPr>
            </w:pPr>
          </w:p>
        </w:tc>
        <w:tc>
          <w:tcPr>
            <w:tcW w:w="2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71096" w14:textId="0A1BE767" w:rsidR="00560ED1" w:rsidRPr="00112792" w:rsidRDefault="00560ED1" w:rsidP="00DA6B42">
            <w:pPr>
              <w:suppressAutoHyphens/>
              <w:autoSpaceDN w:val="0"/>
              <w:jc w:val="both"/>
              <w:rPr>
                <w:rFonts w:ascii="Calibri" w:eastAsia="Calibri" w:hAnsi="Calibri"/>
                <w:lang w:val="en-US"/>
              </w:rPr>
            </w:pPr>
            <w:r w:rsidRPr="00112792">
              <w:rPr>
                <w:rFonts w:ascii="Calibri" w:eastAsia="Calibri" w:hAnsi="Calibri"/>
                <w:lang w:val="en-US"/>
              </w:rPr>
              <w:t>Plan 202</w:t>
            </w:r>
            <w:r w:rsidR="00F87AAC">
              <w:rPr>
                <w:rFonts w:ascii="Calibri" w:eastAsia="Calibri" w:hAnsi="Calibri"/>
                <w:lang w:val="en-US"/>
              </w:rPr>
              <w:t>4</w:t>
            </w:r>
            <w:r w:rsidRPr="00112792">
              <w:rPr>
                <w:rFonts w:ascii="Calibri" w:eastAsia="Calibri" w:hAnsi="Calibri"/>
                <w:lang w:val="en-US"/>
              </w:rPr>
              <w:t>.</w:t>
            </w:r>
          </w:p>
        </w:tc>
        <w:tc>
          <w:tcPr>
            <w:tcW w:w="2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417F8" w14:textId="057669E4" w:rsidR="00560ED1" w:rsidRPr="00112792" w:rsidRDefault="00560ED1" w:rsidP="00DA6B42">
            <w:pPr>
              <w:suppressAutoHyphens/>
              <w:autoSpaceDN w:val="0"/>
              <w:jc w:val="both"/>
              <w:rPr>
                <w:rFonts w:ascii="Calibri" w:eastAsia="Calibri" w:hAnsi="Calibri"/>
                <w:lang w:val="en-US"/>
              </w:rPr>
            </w:pPr>
            <w:r w:rsidRPr="00112792">
              <w:rPr>
                <w:rFonts w:ascii="Calibri" w:eastAsia="Calibri" w:hAnsi="Calibri"/>
                <w:lang w:val="en-US"/>
              </w:rPr>
              <w:t>Plan 202</w:t>
            </w:r>
            <w:r w:rsidR="00F87AAC">
              <w:rPr>
                <w:rFonts w:ascii="Calibri" w:eastAsia="Calibri" w:hAnsi="Calibri"/>
                <w:lang w:val="en-US"/>
              </w:rPr>
              <w:t>5</w:t>
            </w:r>
            <w:r w:rsidRPr="00112792">
              <w:rPr>
                <w:rFonts w:ascii="Calibri" w:eastAsia="Calibri" w:hAnsi="Calibri"/>
                <w:lang w:val="en-US"/>
              </w:rPr>
              <w:t>.</w:t>
            </w:r>
          </w:p>
        </w:tc>
        <w:tc>
          <w:tcPr>
            <w:tcW w:w="2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857E3" w14:textId="7CE6D520" w:rsidR="00560ED1" w:rsidRPr="00112792" w:rsidRDefault="00560ED1" w:rsidP="00DA6B42">
            <w:pPr>
              <w:suppressAutoHyphens/>
              <w:autoSpaceDN w:val="0"/>
              <w:jc w:val="both"/>
              <w:rPr>
                <w:rFonts w:ascii="Calibri" w:eastAsia="Calibri" w:hAnsi="Calibri"/>
                <w:lang w:val="en-US"/>
              </w:rPr>
            </w:pPr>
            <w:r w:rsidRPr="00112792">
              <w:rPr>
                <w:rFonts w:ascii="Calibri" w:eastAsia="Calibri" w:hAnsi="Calibri"/>
                <w:lang w:val="en-US"/>
              </w:rPr>
              <w:t>Plan 202</w:t>
            </w:r>
            <w:r w:rsidR="00F87AAC">
              <w:rPr>
                <w:rFonts w:ascii="Calibri" w:eastAsia="Calibri" w:hAnsi="Calibri"/>
                <w:lang w:val="en-US"/>
              </w:rPr>
              <w:t>6</w:t>
            </w:r>
            <w:r w:rsidRPr="00112792">
              <w:rPr>
                <w:rFonts w:ascii="Calibri" w:eastAsia="Calibri" w:hAnsi="Calibri"/>
                <w:lang w:val="en-US"/>
              </w:rPr>
              <w:t>.</w:t>
            </w:r>
          </w:p>
        </w:tc>
      </w:tr>
      <w:tr w:rsidR="00560ED1" w:rsidRPr="00112792" w14:paraId="2E9CB18A" w14:textId="77777777" w:rsidTr="00FF5A8D">
        <w:trPr>
          <w:trHeight w:val="1124"/>
        </w:trPr>
        <w:tc>
          <w:tcPr>
            <w:tcW w:w="2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3A7CE" w14:textId="77777777" w:rsidR="00560ED1" w:rsidRPr="00112792" w:rsidRDefault="00560ED1" w:rsidP="00DA6B42">
            <w:pPr>
              <w:suppressAutoHyphens/>
              <w:autoSpaceDN w:val="0"/>
              <w:jc w:val="both"/>
              <w:rPr>
                <w:rFonts w:ascii="Calibri" w:eastAsia="Calibri" w:hAnsi="Calibri"/>
                <w:lang w:val="en-US"/>
              </w:rPr>
            </w:pPr>
            <w:r w:rsidRPr="00112792">
              <w:rPr>
                <w:rFonts w:ascii="Calibri" w:eastAsia="Calibri" w:hAnsi="Calibri"/>
                <w:lang w:val="en-US"/>
              </w:rPr>
              <w:t>A621038</w:t>
            </w:r>
          </w:p>
          <w:p w14:paraId="01F95B36" w14:textId="77777777" w:rsidR="00560ED1" w:rsidRPr="00112792" w:rsidRDefault="00560ED1" w:rsidP="00DA6B42">
            <w:pPr>
              <w:suppressAutoHyphens/>
              <w:autoSpaceDN w:val="0"/>
              <w:jc w:val="both"/>
              <w:rPr>
                <w:rFonts w:ascii="Calibri" w:eastAsia="Calibri" w:hAnsi="Calibri"/>
                <w:lang w:val="en-US"/>
              </w:rPr>
            </w:pPr>
            <w:proofErr w:type="spellStart"/>
            <w:r w:rsidRPr="00112792">
              <w:rPr>
                <w:rFonts w:ascii="Calibri" w:eastAsia="Calibri" w:hAnsi="Calibri"/>
                <w:lang w:val="en-US"/>
              </w:rPr>
              <w:t>Programi</w:t>
            </w:r>
            <w:proofErr w:type="spellEnd"/>
            <w:r w:rsidRPr="00112792">
              <w:rPr>
                <w:rFonts w:ascii="Calibri" w:eastAsia="Calibri" w:hAnsi="Calibri"/>
                <w:lang w:val="en-US"/>
              </w:rPr>
              <w:t xml:space="preserve"> </w:t>
            </w:r>
            <w:proofErr w:type="spellStart"/>
            <w:r w:rsidRPr="00112792">
              <w:rPr>
                <w:rFonts w:ascii="Calibri" w:eastAsia="Calibri" w:hAnsi="Calibri"/>
                <w:lang w:val="en-US"/>
              </w:rPr>
              <w:t>vježbaonica</w:t>
            </w:r>
            <w:proofErr w:type="spellEnd"/>
            <w:r w:rsidRPr="00112792">
              <w:rPr>
                <w:rFonts w:ascii="Calibri" w:eastAsia="Calibri" w:hAnsi="Calibri"/>
                <w:lang w:val="en-US"/>
              </w:rPr>
              <w:t xml:space="preserve"> </w:t>
            </w:r>
            <w:proofErr w:type="spellStart"/>
            <w:r w:rsidRPr="00112792">
              <w:rPr>
                <w:rFonts w:ascii="Calibri" w:eastAsia="Calibri" w:hAnsi="Calibri"/>
                <w:lang w:val="en-US"/>
              </w:rPr>
              <w:t>visokih</w:t>
            </w:r>
            <w:proofErr w:type="spellEnd"/>
            <w:r w:rsidRPr="00112792">
              <w:rPr>
                <w:rFonts w:ascii="Calibri" w:eastAsia="Calibri" w:hAnsi="Calibri"/>
                <w:lang w:val="en-US"/>
              </w:rPr>
              <w:t xml:space="preserve"> </w:t>
            </w:r>
            <w:proofErr w:type="spellStart"/>
            <w:r w:rsidRPr="00112792">
              <w:rPr>
                <w:rFonts w:ascii="Calibri" w:eastAsia="Calibri" w:hAnsi="Calibri"/>
                <w:lang w:val="en-US"/>
              </w:rPr>
              <w:t>učilišta</w:t>
            </w:r>
            <w:proofErr w:type="spellEnd"/>
          </w:p>
        </w:tc>
        <w:tc>
          <w:tcPr>
            <w:tcW w:w="2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CE422" w14:textId="66FE136D" w:rsidR="00560ED1" w:rsidRPr="00112792" w:rsidRDefault="00F87AAC" w:rsidP="00DA6B42">
            <w:pPr>
              <w:suppressAutoHyphens/>
              <w:autoSpaceDN w:val="0"/>
              <w:jc w:val="both"/>
              <w:rPr>
                <w:rFonts w:ascii="Arial" w:eastAsia="Calibri" w:hAnsi="Arial" w:cs="Arial"/>
                <w:lang w:val="en-US"/>
              </w:rPr>
            </w:pPr>
            <w:r>
              <w:rPr>
                <w:rFonts w:ascii="Arial" w:eastAsia="Calibri" w:hAnsi="Arial" w:cs="Arial"/>
                <w:lang w:val="en-US"/>
              </w:rPr>
              <w:t>81.066</w:t>
            </w:r>
            <w:r w:rsidR="00044986">
              <w:rPr>
                <w:rFonts w:ascii="Arial" w:eastAsia="Calibri" w:hAnsi="Arial" w:cs="Arial"/>
                <w:lang w:val="en-US"/>
              </w:rPr>
              <w:t xml:space="preserve"> EUR</w:t>
            </w:r>
          </w:p>
        </w:tc>
        <w:tc>
          <w:tcPr>
            <w:tcW w:w="2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8CB11" w14:textId="22DD2E43" w:rsidR="00560ED1" w:rsidRPr="00112792" w:rsidRDefault="00F87AAC" w:rsidP="00DA6B42">
            <w:pPr>
              <w:suppressAutoHyphens/>
              <w:autoSpaceDN w:val="0"/>
              <w:jc w:val="both"/>
              <w:rPr>
                <w:rFonts w:ascii="Arial" w:eastAsia="Calibri" w:hAnsi="Arial" w:cs="Arial"/>
                <w:lang w:val="en-US"/>
              </w:rPr>
            </w:pPr>
            <w:r>
              <w:rPr>
                <w:rFonts w:ascii="Arial" w:eastAsia="Calibri" w:hAnsi="Arial" w:cs="Arial"/>
                <w:lang w:val="en-US"/>
              </w:rPr>
              <w:t>81.066</w:t>
            </w:r>
            <w:r w:rsidR="00044986">
              <w:rPr>
                <w:rFonts w:ascii="Arial" w:eastAsia="Calibri" w:hAnsi="Arial" w:cs="Arial"/>
                <w:lang w:val="en-US"/>
              </w:rPr>
              <w:t xml:space="preserve"> EUR</w:t>
            </w:r>
          </w:p>
        </w:tc>
        <w:tc>
          <w:tcPr>
            <w:tcW w:w="2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30613" w14:textId="672C9D00" w:rsidR="00560ED1" w:rsidRPr="00112792" w:rsidRDefault="00F87AAC" w:rsidP="00DA6B42">
            <w:pPr>
              <w:suppressAutoHyphens/>
              <w:autoSpaceDN w:val="0"/>
              <w:jc w:val="both"/>
              <w:rPr>
                <w:rFonts w:ascii="Arial" w:eastAsia="Calibri" w:hAnsi="Arial" w:cs="Arial"/>
                <w:lang w:val="en-US"/>
              </w:rPr>
            </w:pPr>
            <w:r>
              <w:rPr>
                <w:rFonts w:ascii="Arial" w:eastAsia="Calibri" w:hAnsi="Arial" w:cs="Arial"/>
                <w:lang w:val="en-US"/>
              </w:rPr>
              <w:t>81.066</w:t>
            </w:r>
            <w:r w:rsidR="00044986">
              <w:rPr>
                <w:rFonts w:ascii="Arial" w:eastAsia="Calibri" w:hAnsi="Arial" w:cs="Arial"/>
                <w:lang w:val="en-US"/>
              </w:rPr>
              <w:t xml:space="preserve"> EUR</w:t>
            </w:r>
          </w:p>
        </w:tc>
      </w:tr>
    </w:tbl>
    <w:p w14:paraId="4C53BC2C" w14:textId="77777777" w:rsidR="00560ED1" w:rsidRPr="00CC2200" w:rsidRDefault="00560ED1" w:rsidP="00DA6B42">
      <w:pPr>
        <w:suppressAutoHyphens/>
        <w:autoSpaceDN w:val="0"/>
        <w:spacing w:line="247" w:lineRule="auto"/>
        <w:jc w:val="both"/>
        <w:rPr>
          <w:rFonts w:ascii="Calibri" w:eastAsia="Calibri" w:hAnsi="Calibri"/>
          <w:sz w:val="24"/>
          <w:szCs w:val="24"/>
          <w:lang w:val="en-US"/>
        </w:rPr>
      </w:pPr>
      <w:r w:rsidRPr="00CC2200">
        <w:rPr>
          <w:rFonts w:ascii="Calibri" w:eastAsia="Calibri" w:hAnsi="Calibri"/>
          <w:sz w:val="24"/>
          <w:szCs w:val="24"/>
          <w:lang w:val="en-US"/>
        </w:rPr>
        <w:t xml:space="preserve">Ova </w:t>
      </w:r>
      <w:proofErr w:type="spellStart"/>
      <w:r w:rsidRPr="00CC2200">
        <w:rPr>
          <w:rFonts w:ascii="Calibri" w:eastAsia="Calibri" w:hAnsi="Calibri"/>
          <w:sz w:val="24"/>
          <w:szCs w:val="24"/>
          <w:lang w:val="en-US"/>
        </w:rPr>
        <w:t>aktivnost</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provodi</w:t>
      </w:r>
      <w:proofErr w:type="spellEnd"/>
      <w:r w:rsidRPr="00CC2200">
        <w:rPr>
          <w:rFonts w:ascii="Calibri" w:eastAsia="Calibri" w:hAnsi="Calibri"/>
          <w:sz w:val="24"/>
          <w:szCs w:val="24"/>
          <w:lang w:val="en-US"/>
        </w:rPr>
        <w:t xml:space="preserve"> se </w:t>
      </w:r>
      <w:proofErr w:type="spellStart"/>
      <w:r w:rsidRPr="00CC2200">
        <w:rPr>
          <w:rFonts w:ascii="Calibri" w:eastAsia="Calibri" w:hAnsi="Calibri"/>
          <w:sz w:val="24"/>
          <w:szCs w:val="24"/>
          <w:lang w:val="en-US"/>
        </w:rPr>
        <w:t>svake</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godine</w:t>
      </w:r>
      <w:proofErr w:type="spellEnd"/>
      <w:r w:rsidRPr="00CC2200">
        <w:rPr>
          <w:rFonts w:ascii="Calibri" w:eastAsia="Calibri" w:hAnsi="Calibri"/>
          <w:sz w:val="24"/>
          <w:szCs w:val="24"/>
          <w:lang w:val="en-US"/>
        </w:rPr>
        <w:t>.</w:t>
      </w:r>
    </w:p>
    <w:p w14:paraId="4366B0F0" w14:textId="05F2F642" w:rsidR="00560ED1" w:rsidRPr="00CC2200" w:rsidRDefault="00560ED1" w:rsidP="00DA6B42">
      <w:pPr>
        <w:suppressAutoHyphens/>
        <w:autoSpaceDN w:val="0"/>
        <w:spacing w:line="247" w:lineRule="auto"/>
        <w:jc w:val="both"/>
        <w:rPr>
          <w:rFonts w:ascii="Calibri" w:eastAsia="Calibri" w:hAnsi="Calibri"/>
          <w:sz w:val="24"/>
          <w:szCs w:val="24"/>
          <w:lang w:val="en-US"/>
        </w:rPr>
      </w:pPr>
      <w:r w:rsidRPr="00CC2200">
        <w:rPr>
          <w:rFonts w:ascii="Calibri" w:eastAsia="Calibri" w:hAnsi="Calibri"/>
          <w:sz w:val="24"/>
          <w:szCs w:val="24"/>
          <w:lang w:val="en-US"/>
        </w:rPr>
        <w:t xml:space="preserve">U </w:t>
      </w:r>
      <w:proofErr w:type="spellStart"/>
      <w:r w:rsidRPr="00CC2200">
        <w:rPr>
          <w:rFonts w:ascii="Calibri" w:eastAsia="Calibri" w:hAnsi="Calibri"/>
          <w:sz w:val="24"/>
          <w:szCs w:val="24"/>
          <w:lang w:val="en-US"/>
        </w:rPr>
        <w:t>razdoblju</w:t>
      </w:r>
      <w:proofErr w:type="spellEnd"/>
      <w:r w:rsidRPr="00CC2200">
        <w:rPr>
          <w:rFonts w:ascii="Calibri" w:eastAsia="Calibri" w:hAnsi="Calibri"/>
          <w:sz w:val="24"/>
          <w:szCs w:val="24"/>
          <w:lang w:val="en-US"/>
        </w:rPr>
        <w:t xml:space="preserve"> 202</w:t>
      </w:r>
      <w:r w:rsidR="00F87AAC">
        <w:rPr>
          <w:rFonts w:ascii="Calibri" w:eastAsia="Calibri" w:hAnsi="Calibri"/>
          <w:sz w:val="24"/>
          <w:szCs w:val="24"/>
          <w:lang w:val="en-US"/>
        </w:rPr>
        <w:t>4</w:t>
      </w:r>
      <w:r w:rsidRPr="00CC2200">
        <w:rPr>
          <w:rFonts w:ascii="Calibri" w:eastAsia="Calibri" w:hAnsi="Calibri"/>
          <w:sz w:val="24"/>
          <w:szCs w:val="24"/>
          <w:lang w:val="en-US"/>
        </w:rPr>
        <w:t>. – 202</w:t>
      </w:r>
      <w:r w:rsidR="00F87AAC">
        <w:rPr>
          <w:rFonts w:ascii="Calibri" w:eastAsia="Calibri" w:hAnsi="Calibri"/>
          <w:sz w:val="24"/>
          <w:szCs w:val="24"/>
          <w:lang w:val="en-US"/>
        </w:rPr>
        <w:t>6</w:t>
      </w:r>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Sredstva</w:t>
      </w:r>
      <w:proofErr w:type="spellEnd"/>
      <w:r w:rsidRPr="00CC2200">
        <w:rPr>
          <w:rFonts w:ascii="Calibri" w:eastAsia="Calibri" w:hAnsi="Calibri"/>
          <w:sz w:val="24"/>
          <w:szCs w:val="24"/>
          <w:lang w:val="en-US"/>
        </w:rPr>
        <w:t xml:space="preserve"> za </w:t>
      </w:r>
      <w:proofErr w:type="spellStart"/>
      <w:r w:rsidRPr="00CC2200">
        <w:rPr>
          <w:rFonts w:ascii="Calibri" w:eastAsia="Calibri" w:hAnsi="Calibri"/>
          <w:sz w:val="24"/>
          <w:szCs w:val="24"/>
          <w:lang w:val="en-US"/>
        </w:rPr>
        <w:t>mentorsku</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nastavu</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planirana</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su</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prema</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planiranim</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satima</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mentorske</w:t>
      </w:r>
      <w:proofErr w:type="spellEnd"/>
      <w:r w:rsidRPr="00CC2200">
        <w:rPr>
          <w:rFonts w:ascii="Calibri" w:eastAsia="Calibri" w:hAnsi="Calibri"/>
          <w:sz w:val="24"/>
          <w:szCs w:val="24"/>
          <w:lang w:val="en-US"/>
        </w:rPr>
        <w:t xml:space="preserve"> </w:t>
      </w:r>
      <w:proofErr w:type="spellStart"/>
      <w:r w:rsidRPr="00CC2200">
        <w:rPr>
          <w:rFonts w:ascii="Calibri" w:eastAsia="Calibri" w:hAnsi="Calibri"/>
          <w:sz w:val="24"/>
          <w:szCs w:val="24"/>
          <w:lang w:val="en-US"/>
        </w:rPr>
        <w:t>nastave</w:t>
      </w:r>
      <w:proofErr w:type="spellEnd"/>
      <w:r w:rsidR="00F87AAC">
        <w:rPr>
          <w:rFonts w:ascii="Calibri" w:eastAsia="Calibri" w:hAnsi="Calibri"/>
          <w:sz w:val="24"/>
          <w:szCs w:val="24"/>
          <w:lang w:val="en-US"/>
        </w:rPr>
        <w:t xml:space="preserve"> </w:t>
      </w:r>
      <w:proofErr w:type="spellStart"/>
      <w:r w:rsidR="00F87AAC">
        <w:rPr>
          <w:rFonts w:ascii="Calibri" w:eastAsia="Calibri" w:hAnsi="Calibri"/>
          <w:sz w:val="24"/>
          <w:szCs w:val="24"/>
          <w:lang w:val="en-US"/>
        </w:rPr>
        <w:t>pri</w:t>
      </w:r>
      <w:proofErr w:type="spellEnd"/>
      <w:r w:rsidR="00F87AAC">
        <w:rPr>
          <w:rFonts w:ascii="Calibri" w:eastAsia="Calibri" w:hAnsi="Calibri"/>
          <w:sz w:val="24"/>
          <w:szCs w:val="24"/>
          <w:lang w:val="en-US"/>
        </w:rPr>
        <w:t xml:space="preserve"> </w:t>
      </w:r>
      <w:proofErr w:type="spellStart"/>
      <w:r w:rsidR="00F87AAC">
        <w:rPr>
          <w:rFonts w:ascii="Calibri" w:eastAsia="Calibri" w:hAnsi="Calibri"/>
          <w:sz w:val="24"/>
          <w:szCs w:val="24"/>
          <w:lang w:val="en-US"/>
        </w:rPr>
        <w:t>čemu</w:t>
      </w:r>
      <w:proofErr w:type="spellEnd"/>
      <w:r w:rsidR="00F87AAC">
        <w:rPr>
          <w:rFonts w:ascii="Calibri" w:eastAsia="Calibri" w:hAnsi="Calibri"/>
          <w:sz w:val="24"/>
          <w:szCs w:val="24"/>
          <w:lang w:val="en-US"/>
        </w:rPr>
        <w:t xml:space="preserve"> je plan za 2024. God. </w:t>
      </w:r>
      <w:proofErr w:type="spellStart"/>
      <w:r w:rsidR="00F87AAC">
        <w:rPr>
          <w:rFonts w:ascii="Calibri" w:eastAsia="Calibri" w:hAnsi="Calibri"/>
          <w:sz w:val="24"/>
          <w:szCs w:val="24"/>
          <w:lang w:val="en-US"/>
        </w:rPr>
        <w:t>Umanjen</w:t>
      </w:r>
      <w:proofErr w:type="spellEnd"/>
      <w:r w:rsidR="00F87AAC">
        <w:rPr>
          <w:rFonts w:ascii="Calibri" w:eastAsia="Calibri" w:hAnsi="Calibri"/>
          <w:sz w:val="24"/>
          <w:szCs w:val="24"/>
          <w:lang w:val="en-US"/>
        </w:rPr>
        <w:t xml:space="preserve"> za 1,32 % u </w:t>
      </w:r>
      <w:proofErr w:type="spellStart"/>
      <w:r w:rsidR="00F87AAC">
        <w:rPr>
          <w:rFonts w:ascii="Calibri" w:eastAsia="Calibri" w:hAnsi="Calibri"/>
          <w:sz w:val="24"/>
          <w:szCs w:val="24"/>
          <w:lang w:val="en-US"/>
        </w:rPr>
        <w:t>odnosu</w:t>
      </w:r>
      <w:proofErr w:type="spellEnd"/>
      <w:r w:rsidR="00F87AAC">
        <w:rPr>
          <w:rFonts w:ascii="Calibri" w:eastAsia="Calibri" w:hAnsi="Calibri"/>
          <w:sz w:val="24"/>
          <w:szCs w:val="24"/>
          <w:lang w:val="en-US"/>
        </w:rPr>
        <w:t xml:space="preserve"> </w:t>
      </w:r>
      <w:proofErr w:type="spellStart"/>
      <w:r w:rsidR="00F87AAC">
        <w:rPr>
          <w:rFonts w:ascii="Calibri" w:eastAsia="Calibri" w:hAnsi="Calibri"/>
          <w:sz w:val="24"/>
          <w:szCs w:val="24"/>
          <w:lang w:val="en-US"/>
        </w:rPr>
        <w:t>na</w:t>
      </w:r>
      <w:proofErr w:type="spellEnd"/>
      <w:r w:rsidR="00F87AAC">
        <w:rPr>
          <w:rFonts w:ascii="Calibri" w:eastAsia="Calibri" w:hAnsi="Calibri"/>
          <w:sz w:val="24"/>
          <w:szCs w:val="24"/>
          <w:lang w:val="en-US"/>
        </w:rPr>
        <w:t xml:space="preserve"> </w:t>
      </w:r>
      <w:proofErr w:type="spellStart"/>
      <w:r w:rsidR="00F87AAC">
        <w:rPr>
          <w:rFonts w:ascii="Calibri" w:eastAsia="Calibri" w:hAnsi="Calibri"/>
          <w:sz w:val="24"/>
          <w:szCs w:val="24"/>
          <w:lang w:val="en-US"/>
        </w:rPr>
        <w:t>realizaciju</w:t>
      </w:r>
      <w:proofErr w:type="spellEnd"/>
      <w:r w:rsidR="00F87AAC">
        <w:rPr>
          <w:rFonts w:ascii="Calibri" w:eastAsia="Calibri" w:hAnsi="Calibri"/>
          <w:sz w:val="24"/>
          <w:szCs w:val="24"/>
          <w:lang w:val="en-US"/>
        </w:rPr>
        <w:t xml:space="preserve"> za </w:t>
      </w:r>
      <w:proofErr w:type="spellStart"/>
      <w:r w:rsidR="00F87AAC">
        <w:rPr>
          <w:rFonts w:ascii="Calibri" w:eastAsia="Calibri" w:hAnsi="Calibri"/>
          <w:sz w:val="24"/>
          <w:szCs w:val="24"/>
          <w:lang w:val="en-US"/>
        </w:rPr>
        <w:t>ak</w:t>
      </w:r>
      <w:proofErr w:type="spellEnd"/>
      <w:r w:rsidR="00F87AAC">
        <w:rPr>
          <w:rFonts w:ascii="Calibri" w:eastAsia="Calibri" w:hAnsi="Calibri"/>
          <w:sz w:val="24"/>
          <w:szCs w:val="24"/>
          <w:lang w:val="en-US"/>
        </w:rPr>
        <w:t xml:space="preserve">. God. 2022./2023. </w:t>
      </w:r>
      <w:proofErr w:type="spellStart"/>
      <w:r w:rsidR="00F87AAC">
        <w:rPr>
          <w:rFonts w:ascii="Calibri" w:eastAsia="Calibri" w:hAnsi="Calibri"/>
          <w:sz w:val="24"/>
          <w:szCs w:val="24"/>
          <w:lang w:val="en-US"/>
        </w:rPr>
        <w:t>Projekcije</w:t>
      </w:r>
      <w:proofErr w:type="spellEnd"/>
      <w:r w:rsidR="00F87AAC">
        <w:rPr>
          <w:rFonts w:ascii="Calibri" w:eastAsia="Calibri" w:hAnsi="Calibri"/>
          <w:sz w:val="24"/>
          <w:szCs w:val="24"/>
          <w:lang w:val="en-US"/>
        </w:rPr>
        <w:t xml:space="preserve"> za 2025. I 2026. Su </w:t>
      </w:r>
      <w:proofErr w:type="spellStart"/>
      <w:r w:rsidR="00F87AAC">
        <w:rPr>
          <w:rFonts w:ascii="Calibri" w:eastAsia="Calibri" w:hAnsi="Calibri"/>
          <w:sz w:val="24"/>
          <w:szCs w:val="24"/>
          <w:lang w:val="en-US"/>
        </w:rPr>
        <w:t>planirane</w:t>
      </w:r>
      <w:proofErr w:type="spellEnd"/>
      <w:r w:rsidR="00F87AAC">
        <w:rPr>
          <w:rFonts w:ascii="Calibri" w:eastAsia="Calibri" w:hAnsi="Calibri"/>
          <w:sz w:val="24"/>
          <w:szCs w:val="24"/>
          <w:lang w:val="en-US"/>
        </w:rPr>
        <w:t xml:space="preserve"> </w:t>
      </w:r>
      <w:proofErr w:type="spellStart"/>
      <w:r w:rsidR="00F87AAC">
        <w:rPr>
          <w:rFonts w:ascii="Calibri" w:eastAsia="Calibri" w:hAnsi="Calibri"/>
          <w:sz w:val="24"/>
          <w:szCs w:val="24"/>
          <w:lang w:val="en-US"/>
        </w:rPr>
        <w:t>na</w:t>
      </w:r>
      <w:proofErr w:type="spellEnd"/>
      <w:r w:rsidR="00F87AAC">
        <w:rPr>
          <w:rFonts w:ascii="Calibri" w:eastAsia="Calibri" w:hAnsi="Calibri"/>
          <w:sz w:val="24"/>
          <w:szCs w:val="24"/>
          <w:lang w:val="en-US"/>
        </w:rPr>
        <w:t xml:space="preserve"> </w:t>
      </w:r>
      <w:proofErr w:type="spellStart"/>
      <w:r w:rsidR="00F87AAC">
        <w:rPr>
          <w:rFonts w:ascii="Calibri" w:eastAsia="Calibri" w:hAnsi="Calibri"/>
          <w:sz w:val="24"/>
          <w:szCs w:val="24"/>
          <w:lang w:val="en-US"/>
        </w:rPr>
        <w:t>jednakoj</w:t>
      </w:r>
      <w:proofErr w:type="spellEnd"/>
      <w:r w:rsidR="00F87AAC">
        <w:rPr>
          <w:rFonts w:ascii="Calibri" w:eastAsia="Calibri" w:hAnsi="Calibri"/>
          <w:sz w:val="24"/>
          <w:szCs w:val="24"/>
          <w:lang w:val="en-US"/>
        </w:rPr>
        <w:t xml:space="preserve"> </w:t>
      </w:r>
      <w:proofErr w:type="spellStart"/>
      <w:r w:rsidR="00F87AAC">
        <w:rPr>
          <w:rFonts w:ascii="Calibri" w:eastAsia="Calibri" w:hAnsi="Calibri"/>
          <w:sz w:val="24"/>
          <w:szCs w:val="24"/>
          <w:lang w:val="en-US"/>
        </w:rPr>
        <w:t>razini</w:t>
      </w:r>
      <w:proofErr w:type="spellEnd"/>
      <w:r w:rsidR="00F87AAC">
        <w:rPr>
          <w:rFonts w:ascii="Calibri" w:eastAsia="Calibri" w:hAnsi="Calibri"/>
          <w:sz w:val="24"/>
          <w:szCs w:val="24"/>
          <w:lang w:val="en-US"/>
        </w:rPr>
        <w:t xml:space="preserve"> plana za 2024.</w:t>
      </w:r>
    </w:p>
    <w:p w14:paraId="05376C96" w14:textId="6893C700" w:rsidR="00560ED1" w:rsidRDefault="00560ED1" w:rsidP="00DA6B42">
      <w:pPr>
        <w:suppressAutoHyphens/>
        <w:autoSpaceDN w:val="0"/>
        <w:spacing w:line="247" w:lineRule="auto"/>
        <w:jc w:val="both"/>
        <w:rPr>
          <w:rFonts w:ascii="Calibri" w:eastAsia="Calibri" w:hAnsi="Calibri"/>
          <w:lang w:val="en-US"/>
        </w:rPr>
      </w:pPr>
    </w:p>
    <w:p w14:paraId="48BE8B8E" w14:textId="1663BB91" w:rsidR="00560ED1" w:rsidRPr="0085711E" w:rsidRDefault="00560ED1" w:rsidP="00DA6B42">
      <w:pPr>
        <w:suppressAutoHyphens/>
        <w:autoSpaceDN w:val="0"/>
        <w:spacing w:line="247" w:lineRule="auto"/>
        <w:jc w:val="both"/>
        <w:rPr>
          <w:rFonts w:ascii="Calibri" w:eastAsia="Calibri" w:hAnsi="Calibri"/>
          <w:b/>
          <w:bCs/>
          <w:sz w:val="28"/>
          <w:szCs w:val="28"/>
          <w:lang w:val="en-US"/>
        </w:rPr>
      </w:pPr>
      <w:r w:rsidRPr="0085711E">
        <w:rPr>
          <w:rFonts w:ascii="Calibri" w:eastAsia="Calibri" w:hAnsi="Calibri"/>
          <w:b/>
          <w:bCs/>
          <w:sz w:val="28"/>
          <w:szCs w:val="28"/>
          <w:lang w:val="en-US"/>
        </w:rPr>
        <w:t xml:space="preserve">A622012 </w:t>
      </w:r>
      <w:proofErr w:type="spellStart"/>
      <w:r w:rsidRPr="0085711E">
        <w:rPr>
          <w:rFonts w:ascii="Calibri" w:eastAsia="Calibri" w:hAnsi="Calibri"/>
          <w:b/>
          <w:bCs/>
          <w:sz w:val="28"/>
          <w:szCs w:val="28"/>
          <w:lang w:val="en-US"/>
        </w:rPr>
        <w:t>Redovna</w:t>
      </w:r>
      <w:proofErr w:type="spellEnd"/>
      <w:r w:rsidRPr="0085711E">
        <w:rPr>
          <w:rFonts w:ascii="Calibri" w:eastAsia="Calibri" w:hAnsi="Calibri"/>
          <w:b/>
          <w:bCs/>
          <w:sz w:val="28"/>
          <w:szCs w:val="28"/>
          <w:lang w:val="en-US"/>
        </w:rPr>
        <w:t xml:space="preserve"> </w:t>
      </w:r>
      <w:proofErr w:type="spellStart"/>
      <w:r w:rsidRPr="0085711E">
        <w:rPr>
          <w:rFonts w:ascii="Calibri" w:eastAsia="Calibri" w:hAnsi="Calibri"/>
          <w:b/>
          <w:bCs/>
          <w:sz w:val="28"/>
          <w:szCs w:val="28"/>
          <w:lang w:val="en-US"/>
        </w:rPr>
        <w:t>djelatnost</w:t>
      </w:r>
      <w:proofErr w:type="spellEnd"/>
      <w:r w:rsidRPr="0085711E">
        <w:rPr>
          <w:rFonts w:ascii="Calibri" w:eastAsia="Calibri" w:hAnsi="Calibri"/>
          <w:b/>
          <w:bCs/>
          <w:sz w:val="28"/>
          <w:szCs w:val="28"/>
          <w:lang w:val="en-US"/>
        </w:rPr>
        <w:t xml:space="preserve"> </w:t>
      </w:r>
      <w:proofErr w:type="spellStart"/>
      <w:r w:rsidR="00BE3C5D">
        <w:rPr>
          <w:rFonts w:ascii="Calibri" w:eastAsia="Calibri" w:hAnsi="Calibri"/>
          <w:b/>
          <w:bCs/>
          <w:sz w:val="28"/>
          <w:szCs w:val="28"/>
          <w:lang w:val="en-US"/>
        </w:rPr>
        <w:t>S</w:t>
      </w:r>
      <w:r w:rsidRPr="0085711E">
        <w:rPr>
          <w:rFonts w:ascii="Calibri" w:eastAsia="Calibri" w:hAnsi="Calibri"/>
          <w:b/>
          <w:bCs/>
          <w:sz w:val="28"/>
          <w:szCs w:val="28"/>
          <w:lang w:val="en-US"/>
        </w:rPr>
        <w:t>eizmološke</w:t>
      </w:r>
      <w:proofErr w:type="spellEnd"/>
      <w:r w:rsidRPr="0085711E">
        <w:rPr>
          <w:rFonts w:ascii="Calibri" w:eastAsia="Calibri" w:hAnsi="Calibri"/>
          <w:b/>
          <w:bCs/>
          <w:sz w:val="28"/>
          <w:szCs w:val="28"/>
          <w:lang w:val="en-US"/>
        </w:rPr>
        <w:t xml:space="preserve"> </w:t>
      </w:r>
      <w:proofErr w:type="spellStart"/>
      <w:r w:rsidRPr="0085711E">
        <w:rPr>
          <w:rFonts w:ascii="Calibri" w:eastAsia="Calibri" w:hAnsi="Calibri"/>
          <w:b/>
          <w:bCs/>
          <w:sz w:val="28"/>
          <w:szCs w:val="28"/>
          <w:lang w:val="en-US"/>
        </w:rPr>
        <w:t>službe</w:t>
      </w:r>
      <w:proofErr w:type="spellEnd"/>
      <w:r w:rsidRPr="0085711E">
        <w:rPr>
          <w:rFonts w:ascii="Calibri" w:eastAsia="Calibri" w:hAnsi="Calibri"/>
          <w:b/>
          <w:bCs/>
          <w:sz w:val="28"/>
          <w:szCs w:val="28"/>
          <w:lang w:val="en-US"/>
        </w:rPr>
        <w:t xml:space="preserve"> </w:t>
      </w:r>
      <w:proofErr w:type="spellStart"/>
      <w:r w:rsidRPr="0085711E">
        <w:rPr>
          <w:rFonts w:ascii="Calibri" w:eastAsia="Calibri" w:hAnsi="Calibri"/>
          <w:b/>
          <w:bCs/>
          <w:sz w:val="28"/>
          <w:szCs w:val="28"/>
          <w:lang w:val="en-US"/>
        </w:rPr>
        <w:t>i</w:t>
      </w:r>
      <w:proofErr w:type="spellEnd"/>
      <w:r w:rsidRPr="0085711E">
        <w:rPr>
          <w:rFonts w:ascii="Calibri" w:eastAsia="Calibri" w:hAnsi="Calibri"/>
          <w:b/>
          <w:bCs/>
          <w:sz w:val="28"/>
          <w:szCs w:val="28"/>
          <w:lang w:val="en-US"/>
        </w:rPr>
        <w:t xml:space="preserve"> </w:t>
      </w:r>
      <w:proofErr w:type="spellStart"/>
      <w:r w:rsidRPr="0085711E">
        <w:rPr>
          <w:rFonts w:ascii="Calibri" w:eastAsia="Calibri" w:hAnsi="Calibri"/>
          <w:b/>
          <w:bCs/>
          <w:sz w:val="28"/>
          <w:szCs w:val="28"/>
          <w:lang w:val="en-US"/>
        </w:rPr>
        <w:t>Geomagnetsk</w:t>
      </w:r>
      <w:r w:rsidR="009F57BD">
        <w:rPr>
          <w:rFonts w:ascii="Calibri" w:eastAsia="Calibri" w:hAnsi="Calibri"/>
          <w:b/>
          <w:bCs/>
          <w:sz w:val="28"/>
          <w:szCs w:val="28"/>
          <w:lang w:val="en-US"/>
        </w:rPr>
        <w:t>ih</w:t>
      </w:r>
      <w:proofErr w:type="spellEnd"/>
      <w:r w:rsidRPr="0085711E">
        <w:rPr>
          <w:rFonts w:ascii="Calibri" w:eastAsia="Calibri" w:hAnsi="Calibri"/>
          <w:b/>
          <w:bCs/>
          <w:sz w:val="28"/>
          <w:szCs w:val="28"/>
          <w:lang w:val="en-US"/>
        </w:rPr>
        <w:t xml:space="preserve">    </w:t>
      </w:r>
      <w:proofErr w:type="spellStart"/>
      <w:r w:rsidRPr="0085711E">
        <w:rPr>
          <w:rFonts w:ascii="Calibri" w:eastAsia="Calibri" w:hAnsi="Calibri"/>
          <w:b/>
          <w:bCs/>
          <w:sz w:val="28"/>
          <w:szCs w:val="28"/>
          <w:lang w:val="en-US"/>
        </w:rPr>
        <w:t>opservatorija</w:t>
      </w:r>
      <w:proofErr w:type="spellEnd"/>
      <w:r w:rsidRPr="0085711E">
        <w:rPr>
          <w:rFonts w:ascii="Calibri" w:eastAsia="Calibri" w:hAnsi="Calibri"/>
          <w:b/>
          <w:bCs/>
          <w:sz w:val="28"/>
          <w:szCs w:val="28"/>
          <w:lang w:val="en-US"/>
        </w:rPr>
        <w:t xml:space="preserve"> </w:t>
      </w:r>
      <w:proofErr w:type="spellStart"/>
      <w:r w:rsidRPr="0085711E">
        <w:rPr>
          <w:rFonts w:ascii="Calibri" w:eastAsia="Calibri" w:hAnsi="Calibri"/>
          <w:b/>
          <w:bCs/>
          <w:sz w:val="28"/>
          <w:szCs w:val="28"/>
          <w:lang w:val="en-US"/>
        </w:rPr>
        <w:t>Sveučilišta</w:t>
      </w:r>
      <w:proofErr w:type="spellEnd"/>
      <w:r w:rsidRPr="0085711E">
        <w:rPr>
          <w:rFonts w:ascii="Calibri" w:eastAsia="Calibri" w:hAnsi="Calibri"/>
          <w:b/>
          <w:bCs/>
          <w:sz w:val="28"/>
          <w:szCs w:val="28"/>
          <w:lang w:val="en-US"/>
        </w:rPr>
        <w:t xml:space="preserve"> u </w:t>
      </w:r>
      <w:proofErr w:type="spellStart"/>
      <w:proofErr w:type="gramStart"/>
      <w:r w:rsidRPr="0085711E">
        <w:rPr>
          <w:rFonts w:ascii="Calibri" w:eastAsia="Calibri" w:hAnsi="Calibri"/>
          <w:b/>
          <w:bCs/>
          <w:sz w:val="28"/>
          <w:szCs w:val="28"/>
          <w:lang w:val="en-US"/>
        </w:rPr>
        <w:t>Zagrebu</w:t>
      </w:r>
      <w:proofErr w:type="spellEnd"/>
      <w:r w:rsidR="00BE3C5D">
        <w:rPr>
          <w:rFonts w:ascii="Calibri" w:eastAsia="Calibri" w:hAnsi="Calibri"/>
          <w:b/>
          <w:bCs/>
          <w:sz w:val="28"/>
          <w:szCs w:val="28"/>
          <w:lang w:val="en-US"/>
        </w:rPr>
        <w:t xml:space="preserve"> </w:t>
      </w:r>
      <w:r w:rsidRPr="0085711E">
        <w:rPr>
          <w:rFonts w:ascii="Calibri" w:eastAsia="Calibri" w:hAnsi="Calibri"/>
          <w:b/>
          <w:bCs/>
          <w:sz w:val="28"/>
          <w:szCs w:val="28"/>
          <w:lang w:val="en-US"/>
        </w:rPr>
        <w:t xml:space="preserve"> </w:t>
      </w:r>
      <w:proofErr w:type="spellStart"/>
      <w:r w:rsidR="00BE3C5D" w:rsidRPr="00BE3C5D">
        <w:rPr>
          <w:rFonts w:ascii="Calibri" w:eastAsia="Calibri" w:hAnsi="Calibri"/>
          <w:b/>
          <w:bCs/>
          <w:sz w:val="28"/>
          <w:szCs w:val="28"/>
          <w:lang w:val="en-US"/>
        </w:rPr>
        <w:t>Prirodoslovno</w:t>
      </w:r>
      <w:proofErr w:type="spellEnd"/>
      <w:proofErr w:type="gramEnd"/>
      <w:r w:rsidR="00BE3C5D" w:rsidRPr="00BE3C5D">
        <w:rPr>
          <w:rFonts w:ascii="Calibri" w:eastAsia="Calibri" w:hAnsi="Calibri"/>
          <w:b/>
          <w:bCs/>
          <w:sz w:val="28"/>
          <w:szCs w:val="28"/>
          <w:lang w:val="en-US"/>
        </w:rPr>
        <w:t>-</w:t>
      </w:r>
      <w:r w:rsidR="00E07809">
        <w:rPr>
          <w:rFonts w:ascii="Calibri" w:eastAsia="Calibri" w:hAnsi="Calibri"/>
          <w:b/>
          <w:bCs/>
          <w:sz w:val="28"/>
          <w:szCs w:val="28"/>
          <w:lang w:val="en-US"/>
        </w:rPr>
        <w:t xml:space="preserve"> </w:t>
      </w:r>
      <w:proofErr w:type="spellStart"/>
      <w:r w:rsidR="00BE3C5D" w:rsidRPr="00BE3C5D">
        <w:rPr>
          <w:rFonts w:ascii="Calibri" w:eastAsia="Calibri" w:hAnsi="Calibri"/>
          <w:b/>
          <w:bCs/>
          <w:sz w:val="28"/>
          <w:szCs w:val="28"/>
          <w:lang w:val="en-US"/>
        </w:rPr>
        <w:t>matematičkog</w:t>
      </w:r>
      <w:proofErr w:type="spellEnd"/>
      <w:r w:rsidR="00E07809">
        <w:rPr>
          <w:rFonts w:ascii="Calibri" w:eastAsia="Calibri" w:hAnsi="Calibri"/>
          <w:b/>
          <w:bCs/>
          <w:sz w:val="28"/>
          <w:szCs w:val="28"/>
          <w:lang w:val="en-US"/>
        </w:rPr>
        <w:t xml:space="preserve"> </w:t>
      </w:r>
      <w:proofErr w:type="spellStart"/>
      <w:r w:rsidR="00E07809">
        <w:rPr>
          <w:rFonts w:ascii="Calibri" w:eastAsia="Calibri" w:hAnsi="Calibri"/>
          <w:b/>
          <w:bCs/>
          <w:sz w:val="28"/>
          <w:szCs w:val="28"/>
          <w:lang w:val="en-US"/>
        </w:rPr>
        <w:t>fakulteta</w:t>
      </w:r>
      <w:proofErr w:type="spellEnd"/>
      <w:r w:rsidR="00BE3C5D">
        <w:rPr>
          <w:rFonts w:ascii="Calibri" w:eastAsia="Calibri" w:hAnsi="Calibri"/>
          <w:b/>
          <w:bCs/>
          <w:sz w:val="28"/>
          <w:szCs w:val="28"/>
          <w:lang w:val="en-US"/>
        </w:rPr>
        <w:t>,</w:t>
      </w:r>
      <w:r w:rsidR="00BE3C5D" w:rsidRPr="00BE3C5D">
        <w:rPr>
          <w:rFonts w:ascii="Calibri" w:eastAsia="Calibri" w:hAnsi="Calibri"/>
          <w:b/>
          <w:bCs/>
          <w:sz w:val="28"/>
          <w:szCs w:val="28"/>
          <w:lang w:val="en-US"/>
        </w:rPr>
        <w:t xml:space="preserve"> </w:t>
      </w:r>
      <w:proofErr w:type="spellStart"/>
      <w:r w:rsidR="00BE3C5D" w:rsidRPr="00BE3C5D">
        <w:rPr>
          <w:rFonts w:ascii="Calibri" w:eastAsia="Calibri" w:hAnsi="Calibri"/>
          <w:b/>
          <w:bCs/>
          <w:sz w:val="28"/>
          <w:szCs w:val="28"/>
          <w:lang w:val="en-US"/>
        </w:rPr>
        <w:t>Geofizičkog</w:t>
      </w:r>
      <w:proofErr w:type="spellEnd"/>
      <w:r w:rsidR="00BE3C5D" w:rsidRPr="00BE3C5D">
        <w:rPr>
          <w:rFonts w:ascii="Calibri" w:eastAsia="Calibri" w:hAnsi="Calibri"/>
          <w:b/>
          <w:bCs/>
          <w:sz w:val="28"/>
          <w:szCs w:val="28"/>
          <w:lang w:val="en-US"/>
        </w:rPr>
        <w:t xml:space="preserve"> </w:t>
      </w:r>
      <w:proofErr w:type="spellStart"/>
      <w:r w:rsidR="00BE3C5D" w:rsidRPr="00BE3C5D">
        <w:rPr>
          <w:rFonts w:ascii="Calibri" w:eastAsia="Calibri" w:hAnsi="Calibri"/>
          <w:b/>
          <w:bCs/>
          <w:sz w:val="28"/>
          <w:szCs w:val="28"/>
          <w:lang w:val="en-US"/>
        </w:rPr>
        <w:t>odsjeka</w:t>
      </w:r>
      <w:proofErr w:type="spellEnd"/>
      <w:r w:rsidR="00BE3C5D" w:rsidRPr="00BE3C5D">
        <w:rPr>
          <w:rFonts w:ascii="Calibri" w:eastAsia="Calibri" w:hAnsi="Calibri"/>
          <w:b/>
          <w:bCs/>
          <w:sz w:val="28"/>
          <w:szCs w:val="28"/>
          <w:lang w:val="en-US"/>
        </w:rPr>
        <w:t xml:space="preserve">  </w:t>
      </w:r>
      <w:r w:rsidRPr="0085711E">
        <w:rPr>
          <w:rFonts w:ascii="Calibri" w:eastAsia="Calibri" w:hAnsi="Calibri"/>
          <w:b/>
          <w:bCs/>
          <w:sz w:val="28"/>
          <w:szCs w:val="28"/>
          <w:lang w:val="en-US"/>
        </w:rPr>
        <w:tab/>
        <w:t xml:space="preserve">    </w:t>
      </w:r>
    </w:p>
    <w:p w14:paraId="50FCAEA9" w14:textId="77777777" w:rsidR="00560ED1" w:rsidRPr="000D1731" w:rsidRDefault="00560ED1" w:rsidP="00DA6B42">
      <w:pPr>
        <w:suppressAutoHyphens/>
        <w:autoSpaceDN w:val="0"/>
        <w:spacing w:line="254" w:lineRule="auto"/>
        <w:jc w:val="both"/>
        <w:rPr>
          <w:rFonts w:ascii="Calibri" w:eastAsia="Calibri" w:hAnsi="Calibri"/>
          <w:i/>
          <w:iCs/>
          <w:sz w:val="24"/>
          <w:szCs w:val="24"/>
          <w:lang w:val="en-US"/>
        </w:rPr>
      </w:pPr>
      <w:proofErr w:type="spellStart"/>
      <w:r w:rsidRPr="0087005D">
        <w:rPr>
          <w:rFonts w:ascii="Calibri" w:eastAsia="Calibri" w:hAnsi="Calibri"/>
          <w:i/>
          <w:iCs/>
          <w:sz w:val="24"/>
          <w:szCs w:val="24"/>
          <w:lang w:val="en-US"/>
        </w:rPr>
        <w:t>Zakonske</w:t>
      </w:r>
      <w:proofErr w:type="spellEnd"/>
      <w:r w:rsidRPr="0087005D">
        <w:rPr>
          <w:rFonts w:ascii="Calibri" w:eastAsia="Calibri" w:hAnsi="Calibri"/>
          <w:i/>
          <w:iCs/>
          <w:sz w:val="24"/>
          <w:szCs w:val="24"/>
          <w:lang w:val="en-US"/>
        </w:rPr>
        <w:t xml:space="preserve"> </w:t>
      </w:r>
      <w:proofErr w:type="spellStart"/>
      <w:r w:rsidRPr="0087005D">
        <w:rPr>
          <w:rFonts w:ascii="Calibri" w:eastAsia="Calibri" w:hAnsi="Calibri"/>
          <w:i/>
          <w:iCs/>
          <w:sz w:val="24"/>
          <w:szCs w:val="24"/>
          <w:lang w:val="en-US"/>
        </w:rPr>
        <w:t>i</w:t>
      </w:r>
      <w:proofErr w:type="spellEnd"/>
      <w:r w:rsidRPr="0087005D">
        <w:rPr>
          <w:rFonts w:ascii="Calibri" w:eastAsia="Calibri" w:hAnsi="Calibri"/>
          <w:i/>
          <w:iCs/>
          <w:sz w:val="24"/>
          <w:szCs w:val="24"/>
          <w:lang w:val="en-US"/>
        </w:rPr>
        <w:t xml:space="preserve"> </w:t>
      </w:r>
      <w:proofErr w:type="spellStart"/>
      <w:r w:rsidRPr="0087005D">
        <w:rPr>
          <w:rFonts w:ascii="Calibri" w:eastAsia="Calibri" w:hAnsi="Calibri"/>
          <w:i/>
          <w:iCs/>
          <w:sz w:val="24"/>
          <w:szCs w:val="24"/>
          <w:lang w:val="en-US"/>
        </w:rPr>
        <w:t>druge</w:t>
      </w:r>
      <w:proofErr w:type="spellEnd"/>
      <w:r w:rsidRPr="0087005D">
        <w:rPr>
          <w:rFonts w:ascii="Calibri" w:eastAsia="Calibri" w:hAnsi="Calibri"/>
          <w:i/>
          <w:iCs/>
          <w:sz w:val="24"/>
          <w:szCs w:val="24"/>
          <w:lang w:val="en-US"/>
        </w:rPr>
        <w:t xml:space="preserve"> </w:t>
      </w:r>
      <w:proofErr w:type="spellStart"/>
      <w:r w:rsidRPr="0087005D">
        <w:rPr>
          <w:rFonts w:ascii="Calibri" w:eastAsia="Calibri" w:hAnsi="Calibri"/>
          <w:i/>
          <w:iCs/>
          <w:sz w:val="24"/>
          <w:szCs w:val="24"/>
          <w:lang w:val="en-US"/>
        </w:rPr>
        <w:t>pravne</w:t>
      </w:r>
      <w:proofErr w:type="spellEnd"/>
      <w:r w:rsidRPr="0087005D">
        <w:rPr>
          <w:rFonts w:ascii="Calibri" w:eastAsia="Calibri" w:hAnsi="Calibri"/>
          <w:i/>
          <w:iCs/>
          <w:sz w:val="24"/>
          <w:szCs w:val="24"/>
          <w:lang w:val="en-US"/>
        </w:rPr>
        <w:t xml:space="preserve"> </w:t>
      </w:r>
      <w:proofErr w:type="spellStart"/>
      <w:r w:rsidRPr="0087005D">
        <w:rPr>
          <w:rFonts w:ascii="Calibri" w:eastAsia="Calibri" w:hAnsi="Calibri"/>
          <w:i/>
          <w:iCs/>
          <w:sz w:val="24"/>
          <w:szCs w:val="24"/>
          <w:lang w:val="en-US"/>
        </w:rPr>
        <w:t>osnove</w:t>
      </w:r>
      <w:proofErr w:type="spellEnd"/>
    </w:p>
    <w:p w14:paraId="33835AA2" w14:textId="318F3AE1" w:rsidR="002D44C5" w:rsidRPr="00BE3C5D" w:rsidRDefault="002D44C5" w:rsidP="00DA6B42">
      <w:pPr>
        <w:numPr>
          <w:ilvl w:val="0"/>
          <w:numId w:val="20"/>
        </w:numPr>
        <w:spacing w:before="274" w:beforeAutospacing="1" w:after="274" w:afterAutospacing="1" w:line="240" w:lineRule="auto"/>
        <w:jc w:val="both"/>
        <w:rPr>
          <w:rFonts w:cstheme="minorHAnsi"/>
          <w:sz w:val="24"/>
          <w:szCs w:val="24"/>
        </w:rPr>
      </w:pPr>
      <w:r w:rsidRPr="00BE3C5D">
        <w:rPr>
          <w:rFonts w:cstheme="minorHAnsi"/>
          <w:sz w:val="24"/>
          <w:szCs w:val="24"/>
        </w:rPr>
        <w:t>Zakon o znanstvenoj djelatnosti i visokom obrazovanju (NN br. 123/2003, 198/2003, 105/2004, 174/2004, 2/2007, 46/2007, 45/2009, 45/2009, 63/2011, 94/2013, 139/2013, 101/2014, 60/2015, 131/2017</w:t>
      </w:r>
      <w:r w:rsidR="008E4240">
        <w:rPr>
          <w:rFonts w:cstheme="minorHAnsi"/>
          <w:sz w:val="24"/>
          <w:szCs w:val="24"/>
        </w:rPr>
        <w:t xml:space="preserve">, </w:t>
      </w:r>
      <w:r w:rsidR="008E4240" w:rsidRPr="007E6B4A">
        <w:rPr>
          <w:rFonts w:cstheme="minorHAnsi"/>
          <w:sz w:val="24"/>
          <w:szCs w:val="24"/>
        </w:rPr>
        <w:t>96/2018, 119/2022</w:t>
      </w:r>
      <w:r w:rsidRPr="00BE3C5D">
        <w:rPr>
          <w:rFonts w:cstheme="minorHAnsi"/>
          <w:sz w:val="24"/>
          <w:szCs w:val="24"/>
        </w:rPr>
        <w:t xml:space="preserve">) </w:t>
      </w:r>
    </w:p>
    <w:p w14:paraId="10EC0C42" w14:textId="77777777" w:rsidR="00560ED1" w:rsidRPr="00BE3C5D" w:rsidRDefault="00560ED1" w:rsidP="00DA6B42">
      <w:pPr>
        <w:numPr>
          <w:ilvl w:val="0"/>
          <w:numId w:val="20"/>
        </w:numPr>
        <w:suppressAutoHyphens/>
        <w:autoSpaceDN w:val="0"/>
        <w:spacing w:line="254" w:lineRule="auto"/>
        <w:contextualSpacing/>
        <w:jc w:val="both"/>
        <w:rPr>
          <w:rFonts w:ascii="Calibri" w:eastAsia="Calibri" w:hAnsi="Calibri"/>
          <w:sz w:val="24"/>
          <w:szCs w:val="24"/>
          <w:lang w:val="en-US"/>
        </w:rPr>
      </w:pPr>
      <w:bookmarkStart w:id="3" w:name="_Hlk115643454"/>
      <w:r w:rsidRPr="00BE3C5D">
        <w:rPr>
          <w:rFonts w:ascii="Calibri" w:eastAsia="Calibri" w:hAnsi="Calibri"/>
          <w:sz w:val="24"/>
          <w:szCs w:val="24"/>
          <w:lang w:val="en-US"/>
        </w:rPr>
        <w:t xml:space="preserve">Zakon o </w:t>
      </w:r>
      <w:proofErr w:type="spellStart"/>
      <w:r w:rsidRPr="00BE3C5D">
        <w:rPr>
          <w:rFonts w:ascii="Calibri" w:eastAsia="Calibri" w:hAnsi="Calibri"/>
          <w:sz w:val="24"/>
          <w:szCs w:val="24"/>
          <w:lang w:val="en-US"/>
        </w:rPr>
        <w:t>seizmološkim</w:t>
      </w:r>
      <w:proofErr w:type="spellEnd"/>
      <w:r w:rsidRPr="00BE3C5D">
        <w:rPr>
          <w:rFonts w:ascii="Calibri" w:eastAsia="Calibri" w:hAnsi="Calibri"/>
          <w:sz w:val="24"/>
          <w:szCs w:val="24"/>
          <w:lang w:val="en-US"/>
        </w:rPr>
        <w:t xml:space="preserve"> </w:t>
      </w:r>
      <w:proofErr w:type="spellStart"/>
      <w:r w:rsidRPr="00BE3C5D">
        <w:rPr>
          <w:rFonts w:ascii="Calibri" w:eastAsia="Calibri" w:hAnsi="Calibri"/>
          <w:sz w:val="24"/>
          <w:szCs w:val="24"/>
          <w:lang w:val="en-US"/>
        </w:rPr>
        <w:t>poslovima</w:t>
      </w:r>
      <w:proofErr w:type="spellEnd"/>
      <w:r w:rsidRPr="00BE3C5D">
        <w:rPr>
          <w:rFonts w:ascii="Calibri" w:eastAsia="Calibri" w:hAnsi="Calibri"/>
          <w:sz w:val="24"/>
          <w:szCs w:val="24"/>
          <w:lang w:val="en-US"/>
        </w:rPr>
        <w:t xml:space="preserve"> (NN 44/85)</w:t>
      </w:r>
    </w:p>
    <w:bookmarkEnd w:id="3"/>
    <w:p w14:paraId="4A9EFACC" w14:textId="77777777" w:rsidR="00560ED1" w:rsidRPr="000D1731" w:rsidRDefault="00560ED1" w:rsidP="00DA6B42">
      <w:pPr>
        <w:suppressAutoHyphens/>
        <w:autoSpaceDN w:val="0"/>
        <w:spacing w:line="254" w:lineRule="auto"/>
        <w:ind w:left="720"/>
        <w:contextualSpacing/>
        <w:jc w:val="both"/>
        <w:rPr>
          <w:rFonts w:ascii="Calibri" w:eastAsia="Calibri" w:hAnsi="Calibri"/>
          <w:sz w:val="24"/>
          <w:szCs w:val="24"/>
          <w:lang w:val="en-US"/>
        </w:rPr>
      </w:pPr>
    </w:p>
    <w:tbl>
      <w:tblPr>
        <w:tblW w:w="10129" w:type="dxa"/>
        <w:tblCellMar>
          <w:left w:w="10" w:type="dxa"/>
          <w:right w:w="10" w:type="dxa"/>
        </w:tblCellMar>
        <w:tblLook w:val="0000" w:firstRow="0" w:lastRow="0" w:firstColumn="0" w:lastColumn="0" w:noHBand="0" w:noVBand="0"/>
      </w:tblPr>
      <w:tblGrid>
        <w:gridCol w:w="3221"/>
        <w:gridCol w:w="2302"/>
        <w:gridCol w:w="2302"/>
        <w:gridCol w:w="2304"/>
      </w:tblGrid>
      <w:tr w:rsidR="00560ED1" w:rsidRPr="000D1731" w14:paraId="514A243A" w14:textId="77777777" w:rsidTr="00FF5A8D">
        <w:trPr>
          <w:trHeight w:val="320"/>
        </w:trPr>
        <w:tc>
          <w:tcPr>
            <w:tcW w:w="3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82E23" w14:textId="77777777" w:rsidR="00560ED1" w:rsidRPr="000D1731" w:rsidRDefault="00560ED1" w:rsidP="00DA6B42">
            <w:pPr>
              <w:suppressAutoHyphens/>
              <w:autoSpaceDN w:val="0"/>
              <w:jc w:val="both"/>
              <w:rPr>
                <w:rFonts w:ascii="Calibri" w:eastAsia="Calibri" w:hAnsi="Calibri"/>
                <w:sz w:val="24"/>
                <w:szCs w:val="24"/>
                <w:lang w:val="en-US"/>
              </w:rPr>
            </w:pPr>
          </w:p>
        </w:tc>
        <w:tc>
          <w:tcPr>
            <w:tcW w:w="2302" w:type="dxa"/>
            <w:tcBorders>
              <w:top w:val="single" w:sz="4" w:space="0" w:color="000000"/>
              <w:left w:val="single" w:sz="4" w:space="0" w:color="000000"/>
              <w:bottom w:val="single" w:sz="4" w:space="0" w:color="000000"/>
              <w:right w:val="single" w:sz="4" w:space="0" w:color="000000"/>
            </w:tcBorders>
            <w:vAlign w:val="center"/>
          </w:tcPr>
          <w:p w14:paraId="64DEE03C" w14:textId="4D4572D7" w:rsidR="00560ED1" w:rsidRPr="000D1731" w:rsidRDefault="00560ED1" w:rsidP="00DA6B42">
            <w:pPr>
              <w:suppressAutoHyphens/>
              <w:autoSpaceDN w:val="0"/>
              <w:jc w:val="both"/>
              <w:rPr>
                <w:rFonts w:ascii="Calibri" w:eastAsia="Calibri" w:hAnsi="Calibri"/>
                <w:sz w:val="24"/>
                <w:szCs w:val="24"/>
                <w:lang w:val="en-US"/>
              </w:rPr>
            </w:pPr>
            <w:r w:rsidRPr="000D1731">
              <w:rPr>
                <w:rFonts w:ascii="Calibri" w:eastAsia="Calibri" w:hAnsi="Calibri"/>
                <w:sz w:val="24"/>
                <w:szCs w:val="24"/>
                <w:lang w:val="en-US"/>
              </w:rPr>
              <w:t>Plan</w:t>
            </w:r>
            <w:r>
              <w:rPr>
                <w:rFonts w:ascii="Calibri" w:eastAsia="Calibri" w:hAnsi="Calibri"/>
                <w:sz w:val="24"/>
                <w:szCs w:val="24"/>
                <w:lang w:val="en-US"/>
              </w:rPr>
              <w:t xml:space="preserve"> </w:t>
            </w:r>
            <w:r w:rsidRPr="000D1731">
              <w:rPr>
                <w:rFonts w:ascii="Calibri" w:eastAsia="Calibri" w:hAnsi="Calibri"/>
                <w:sz w:val="24"/>
                <w:szCs w:val="24"/>
                <w:lang w:val="en-US"/>
              </w:rPr>
              <w:t>202</w:t>
            </w:r>
            <w:r w:rsidR="00F87AAC">
              <w:rPr>
                <w:rFonts w:ascii="Calibri" w:eastAsia="Calibri" w:hAnsi="Calibri"/>
                <w:sz w:val="24"/>
                <w:szCs w:val="24"/>
                <w:lang w:val="en-US"/>
              </w:rPr>
              <w:t>4</w:t>
            </w:r>
            <w:r w:rsidRPr="000D1731">
              <w:rPr>
                <w:rFonts w:ascii="Calibri" w:eastAsia="Calibri" w:hAnsi="Calibri"/>
                <w:sz w:val="24"/>
                <w:szCs w:val="24"/>
                <w:lang w:val="en-US"/>
              </w:rPr>
              <w:t>.</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D50BC" w14:textId="29B5855D" w:rsidR="00560ED1" w:rsidRPr="000D1731" w:rsidRDefault="00560ED1" w:rsidP="00DA6B42">
            <w:pPr>
              <w:suppressAutoHyphens/>
              <w:autoSpaceDN w:val="0"/>
              <w:jc w:val="both"/>
              <w:rPr>
                <w:rFonts w:ascii="Calibri" w:eastAsia="Calibri" w:hAnsi="Calibri"/>
                <w:sz w:val="24"/>
                <w:szCs w:val="24"/>
                <w:lang w:val="en-US"/>
              </w:rPr>
            </w:pPr>
            <w:r w:rsidRPr="000D1731">
              <w:rPr>
                <w:rFonts w:ascii="Calibri" w:eastAsia="Calibri" w:hAnsi="Calibri"/>
                <w:sz w:val="24"/>
                <w:szCs w:val="24"/>
                <w:lang w:val="en-US"/>
              </w:rPr>
              <w:t>Plan</w:t>
            </w:r>
            <w:r>
              <w:rPr>
                <w:rFonts w:ascii="Calibri" w:eastAsia="Calibri" w:hAnsi="Calibri"/>
                <w:sz w:val="24"/>
                <w:szCs w:val="24"/>
                <w:lang w:val="en-US"/>
              </w:rPr>
              <w:t xml:space="preserve"> </w:t>
            </w:r>
            <w:r w:rsidRPr="000D1731">
              <w:rPr>
                <w:rFonts w:ascii="Calibri" w:eastAsia="Calibri" w:hAnsi="Calibri"/>
                <w:sz w:val="24"/>
                <w:szCs w:val="24"/>
                <w:lang w:val="en-US"/>
              </w:rPr>
              <w:t>202</w:t>
            </w:r>
            <w:r w:rsidR="00F87AAC">
              <w:rPr>
                <w:rFonts w:ascii="Calibri" w:eastAsia="Calibri" w:hAnsi="Calibri"/>
                <w:sz w:val="24"/>
                <w:szCs w:val="24"/>
                <w:lang w:val="en-US"/>
              </w:rPr>
              <w:t>5</w:t>
            </w:r>
            <w:r w:rsidRPr="000D1731">
              <w:rPr>
                <w:rFonts w:ascii="Calibri" w:eastAsia="Calibri" w:hAnsi="Calibri"/>
                <w:sz w:val="24"/>
                <w:szCs w:val="24"/>
                <w:lang w:val="en-US"/>
              </w:rP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1F2E91" w14:textId="694FD61C" w:rsidR="00560ED1" w:rsidRPr="000D1731" w:rsidRDefault="00560ED1" w:rsidP="00DA6B42">
            <w:pPr>
              <w:suppressAutoHyphens/>
              <w:autoSpaceDN w:val="0"/>
              <w:jc w:val="both"/>
              <w:rPr>
                <w:rFonts w:ascii="Calibri" w:eastAsia="Calibri" w:hAnsi="Calibri"/>
                <w:sz w:val="24"/>
                <w:szCs w:val="24"/>
                <w:lang w:val="en-US"/>
              </w:rPr>
            </w:pPr>
            <w:r w:rsidRPr="000D1731">
              <w:rPr>
                <w:rFonts w:ascii="Calibri" w:eastAsia="Calibri" w:hAnsi="Calibri"/>
                <w:sz w:val="24"/>
                <w:szCs w:val="24"/>
                <w:lang w:val="en-US"/>
              </w:rPr>
              <w:t>Plan</w:t>
            </w:r>
            <w:r>
              <w:rPr>
                <w:rFonts w:ascii="Calibri" w:eastAsia="Calibri" w:hAnsi="Calibri"/>
                <w:sz w:val="24"/>
                <w:szCs w:val="24"/>
                <w:lang w:val="en-US"/>
              </w:rPr>
              <w:t xml:space="preserve"> </w:t>
            </w:r>
            <w:r w:rsidRPr="000D1731">
              <w:rPr>
                <w:rFonts w:ascii="Calibri" w:eastAsia="Calibri" w:hAnsi="Calibri"/>
                <w:sz w:val="24"/>
                <w:szCs w:val="24"/>
                <w:lang w:val="en-US"/>
              </w:rPr>
              <w:t>202</w:t>
            </w:r>
            <w:r w:rsidR="00F87AAC">
              <w:rPr>
                <w:rFonts w:ascii="Calibri" w:eastAsia="Calibri" w:hAnsi="Calibri"/>
                <w:sz w:val="24"/>
                <w:szCs w:val="24"/>
                <w:lang w:val="en-US"/>
              </w:rPr>
              <w:t>6</w:t>
            </w:r>
            <w:r w:rsidRPr="000D1731">
              <w:rPr>
                <w:rFonts w:ascii="Calibri" w:eastAsia="Calibri" w:hAnsi="Calibri"/>
                <w:sz w:val="24"/>
                <w:szCs w:val="24"/>
                <w:lang w:val="en-US"/>
              </w:rPr>
              <w:t>.</w:t>
            </w:r>
          </w:p>
        </w:tc>
      </w:tr>
      <w:tr w:rsidR="00560ED1" w:rsidRPr="000D1731" w14:paraId="53745404" w14:textId="77777777" w:rsidTr="00FF5A8D">
        <w:trPr>
          <w:trHeight w:val="1274"/>
        </w:trPr>
        <w:tc>
          <w:tcPr>
            <w:tcW w:w="3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C9DB6" w14:textId="5944BBB8" w:rsidR="00560ED1" w:rsidRPr="000D1731" w:rsidRDefault="00560ED1" w:rsidP="00DA6B42">
            <w:pPr>
              <w:suppressAutoHyphens/>
              <w:autoSpaceDN w:val="0"/>
              <w:jc w:val="both"/>
              <w:rPr>
                <w:rFonts w:ascii="Calibri" w:eastAsia="Calibri" w:hAnsi="Calibri"/>
                <w:sz w:val="24"/>
                <w:szCs w:val="24"/>
                <w:lang w:val="en-US"/>
              </w:rPr>
            </w:pPr>
            <w:proofErr w:type="spellStart"/>
            <w:r w:rsidRPr="000D1731">
              <w:rPr>
                <w:rFonts w:ascii="Calibri" w:eastAsia="Calibri" w:hAnsi="Calibri"/>
                <w:sz w:val="24"/>
                <w:szCs w:val="24"/>
                <w:lang w:val="en-US"/>
              </w:rPr>
              <w:t>Seizmološka</w:t>
            </w:r>
            <w:proofErr w:type="spellEnd"/>
            <w:r w:rsidRPr="000D1731">
              <w:rPr>
                <w:rFonts w:ascii="Calibri" w:eastAsia="Calibri" w:hAnsi="Calibri"/>
                <w:sz w:val="24"/>
                <w:szCs w:val="24"/>
                <w:lang w:val="en-US"/>
              </w:rPr>
              <w:t xml:space="preserve"> služba </w:t>
            </w:r>
            <w:proofErr w:type="spellStart"/>
            <w:r w:rsidR="008B610C">
              <w:rPr>
                <w:rFonts w:ascii="Calibri" w:eastAsia="Calibri" w:hAnsi="Calibri"/>
                <w:sz w:val="24"/>
                <w:szCs w:val="24"/>
                <w:lang w:val="en-US"/>
              </w:rPr>
              <w:t>i</w:t>
            </w:r>
            <w:proofErr w:type="spellEnd"/>
            <w:r w:rsidRPr="000D1731">
              <w:rPr>
                <w:rFonts w:ascii="Calibri" w:eastAsia="Calibri" w:hAnsi="Calibri"/>
                <w:sz w:val="24"/>
                <w:szCs w:val="24"/>
                <w:lang w:val="en-US"/>
              </w:rPr>
              <w:t xml:space="preserve"> </w:t>
            </w:r>
            <w:proofErr w:type="spellStart"/>
            <w:r w:rsidRPr="000D1731">
              <w:rPr>
                <w:rFonts w:ascii="Calibri" w:eastAsia="Calibri" w:hAnsi="Calibri"/>
                <w:sz w:val="24"/>
                <w:szCs w:val="24"/>
                <w:lang w:val="en-US"/>
              </w:rPr>
              <w:t>Geomagnetsk</w:t>
            </w:r>
            <w:r w:rsidR="008B610C">
              <w:rPr>
                <w:rFonts w:ascii="Calibri" w:eastAsia="Calibri" w:hAnsi="Calibri"/>
                <w:sz w:val="24"/>
                <w:szCs w:val="24"/>
                <w:lang w:val="en-US"/>
              </w:rPr>
              <w:t>i</w:t>
            </w:r>
            <w:proofErr w:type="spellEnd"/>
            <w:r w:rsidRPr="000D1731">
              <w:rPr>
                <w:rFonts w:ascii="Calibri" w:eastAsia="Calibri" w:hAnsi="Calibri"/>
                <w:sz w:val="24"/>
                <w:szCs w:val="24"/>
                <w:lang w:val="en-US"/>
              </w:rPr>
              <w:t xml:space="preserve"> </w:t>
            </w:r>
            <w:proofErr w:type="spellStart"/>
            <w:r w:rsidRPr="000D1731">
              <w:rPr>
                <w:rFonts w:ascii="Calibri" w:eastAsia="Calibri" w:hAnsi="Calibri"/>
                <w:sz w:val="24"/>
                <w:szCs w:val="24"/>
                <w:lang w:val="en-US"/>
              </w:rPr>
              <w:t>opservatorij</w:t>
            </w:r>
            <w:r w:rsidR="009F57BD">
              <w:rPr>
                <w:rFonts w:ascii="Calibri" w:eastAsia="Calibri" w:hAnsi="Calibri"/>
                <w:sz w:val="24"/>
                <w:szCs w:val="24"/>
                <w:lang w:val="en-US"/>
              </w:rPr>
              <w:t>i</w:t>
            </w:r>
            <w:proofErr w:type="spellEnd"/>
            <w:r w:rsidRPr="000D1731">
              <w:rPr>
                <w:rFonts w:ascii="Calibri" w:eastAsia="Calibri" w:hAnsi="Calibri"/>
                <w:sz w:val="24"/>
                <w:szCs w:val="24"/>
                <w:lang w:val="en-US"/>
              </w:rPr>
              <w:t xml:space="preserve"> </w:t>
            </w:r>
            <w:proofErr w:type="spellStart"/>
            <w:r w:rsidRPr="000D1731">
              <w:rPr>
                <w:rFonts w:ascii="Calibri" w:eastAsia="Calibri" w:hAnsi="Calibri"/>
                <w:sz w:val="24"/>
                <w:szCs w:val="24"/>
                <w:lang w:val="en-US"/>
              </w:rPr>
              <w:t>Prirodoslovno-matematičkog</w:t>
            </w:r>
            <w:proofErr w:type="spellEnd"/>
            <w:r w:rsidRPr="000D1731">
              <w:rPr>
                <w:rFonts w:ascii="Calibri" w:eastAsia="Calibri" w:hAnsi="Calibri"/>
                <w:sz w:val="24"/>
                <w:szCs w:val="24"/>
                <w:lang w:val="en-US"/>
              </w:rPr>
              <w:t xml:space="preserve"> </w:t>
            </w:r>
            <w:proofErr w:type="spellStart"/>
            <w:r w:rsidRPr="000D1731">
              <w:rPr>
                <w:rFonts w:ascii="Calibri" w:eastAsia="Calibri" w:hAnsi="Calibri"/>
                <w:sz w:val="24"/>
                <w:szCs w:val="24"/>
                <w:lang w:val="en-US"/>
              </w:rPr>
              <w:t>fakulteta</w:t>
            </w:r>
            <w:proofErr w:type="spellEnd"/>
            <w:r w:rsidRPr="000D1731">
              <w:rPr>
                <w:rFonts w:ascii="Calibri" w:eastAsia="Calibri" w:hAnsi="Calibri"/>
                <w:sz w:val="24"/>
                <w:szCs w:val="24"/>
                <w:lang w:val="en-US"/>
              </w:rPr>
              <w:t xml:space="preserve"> u </w:t>
            </w:r>
            <w:proofErr w:type="spellStart"/>
            <w:r w:rsidRPr="000D1731">
              <w:rPr>
                <w:rFonts w:ascii="Calibri" w:eastAsia="Calibri" w:hAnsi="Calibri"/>
                <w:sz w:val="24"/>
                <w:szCs w:val="24"/>
                <w:lang w:val="en-US"/>
              </w:rPr>
              <w:t>Zagrebu</w:t>
            </w:r>
            <w:proofErr w:type="spellEnd"/>
          </w:p>
        </w:tc>
        <w:tc>
          <w:tcPr>
            <w:tcW w:w="2302" w:type="dxa"/>
            <w:tcBorders>
              <w:top w:val="single" w:sz="4" w:space="0" w:color="000000"/>
              <w:left w:val="single" w:sz="4" w:space="0" w:color="000000"/>
              <w:bottom w:val="single" w:sz="4" w:space="0" w:color="000000"/>
              <w:right w:val="single" w:sz="4" w:space="0" w:color="000000"/>
            </w:tcBorders>
            <w:vAlign w:val="center"/>
          </w:tcPr>
          <w:p w14:paraId="101B2464" w14:textId="6C65A1EA" w:rsidR="00560ED1" w:rsidRPr="000D1731" w:rsidRDefault="00F87AAC" w:rsidP="00DA6B42">
            <w:pPr>
              <w:suppressAutoHyphens/>
              <w:autoSpaceDN w:val="0"/>
              <w:jc w:val="both"/>
              <w:rPr>
                <w:rFonts w:ascii="Calibri" w:eastAsia="Calibri" w:hAnsi="Calibri"/>
                <w:sz w:val="24"/>
                <w:szCs w:val="24"/>
                <w:lang w:val="en-US"/>
              </w:rPr>
            </w:pPr>
            <w:r>
              <w:rPr>
                <w:rFonts w:ascii="Calibri" w:eastAsia="Calibri" w:hAnsi="Calibri"/>
                <w:sz w:val="24"/>
                <w:szCs w:val="24"/>
                <w:lang w:val="en-US"/>
              </w:rPr>
              <w:t>232.963</w:t>
            </w:r>
            <w:r w:rsidR="000C443E">
              <w:rPr>
                <w:rFonts w:ascii="Calibri" w:eastAsia="Calibri" w:hAnsi="Calibri"/>
                <w:sz w:val="24"/>
                <w:szCs w:val="24"/>
                <w:lang w:val="en-US"/>
              </w:rPr>
              <w:t xml:space="preserve"> EUR</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FB890" w14:textId="7CC07559" w:rsidR="00560ED1" w:rsidRPr="000D1731" w:rsidRDefault="000C443E" w:rsidP="00DA6B42">
            <w:pPr>
              <w:suppressAutoHyphens/>
              <w:autoSpaceDN w:val="0"/>
              <w:jc w:val="both"/>
              <w:rPr>
                <w:rFonts w:ascii="Calibri" w:eastAsia="Calibri" w:hAnsi="Calibri"/>
                <w:sz w:val="24"/>
                <w:szCs w:val="24"/>
                <w:lang w:val="en-US"/>
              </w:rPr>
            </w:pPr>
            <w:r>
              <w:rPr>
                <w:rFonts w:ascii="Calibri" w:eastAsia="Calibri" w:hAnsi="Calibri"/>
                <w:sz w:val="24"/>
                <w:szCs w:val="24"/>
                <w:lang w:val="en-US"/>
              </w:rPr>
              <w:t>2</w:t>
            </w:r>
            <w:r w:rsidR="00F87AAC">
              <w:rPr>
                <w:rFonts w:ascii="Calibri" w:eastAsia="Calibri" w:hAnsi="Calibri"/>
                <w:sz w:val="24"/>
                <w:szCs w:val="24"/>
                <w:lang w:val="en-US"/>
              </w:rPr>
              <w:t>32.963</w:t>
            </w:r>
            <w:r>
              <w:rPr>
                <w:rFonts w:ascii="Calibri" w:eastAsia="Calibri" w:hAnsi="Calibri"/>
                <w:sz w:val="24"/>
                <w:szCs w:val="24"/>
                <w:lang w:val="en-US"/>
              </w:rPr>
              <w:t xml:space="preserve"> EUR</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85AE9" w14:textId="07E25AC2" w:rsidR="00560ED1" w:rsidRPr="000D1731" w:rsidRDefault="000C443E" w:rsidP="00DA6B42">
            <w:pPr>
              <w:suppressAutoHyphens/>
              <w:autoSpaceDN w:val="0"/>
              <w:jc w:val="both"/>
              <w:rPr>
                <w:rFonts w:ascii="Calibri" w:eastAsia="Calibri" w:hAnsi="Calibri"/>
                <w:sz w:val="24"/>
                <w:szCs w:val="24"/>
                <w:lang w:val="en-US"/>
              </w:rPr>
            </w:pPr>
            <w:r>
              <w:rPr>
                <w:rFonts w:ascii="Calibri" w:eastAsia="Calibri" w:hAnsi="Calibri"/>
                <w:sz w:val="24"/>
                <w:szCs w:val="24"/>
                <w:lang w:val="en-US"/>
              </w:rPr>
              <w:t>2</w:t>
            </w:r>
            <w:r w:rsidR="00F87AAC">
              <w:rPr>
                <w:rFonts w:ascii="Calibri" w:eastAsia="Calibri" w:hAnsi="Calibri"/>
                <w:sz w:val="24"/>
                <w:szCs w:val="24"/>
                <w:lang w:val="en-US"/>
              </w:rPr>
              <w:t>32.963</w:t>
            </w:r>
            <w:r>
              <w:rPr>
                <w:rFonts w:ascii="Calibri" w:eastAsia="Calibri" w:hAnsi="Calibri"/>
                <w:sz w:val="24"/>
                <w:szCs w:val="24"/>
                <w:lang w:val="en-US"/>
              </w:rPr>
              <w:t xml:space="preserve"> EUR</w:t>
            </w:r>
          </w:p>
        </w:tc>
      </w:tr>
    </w:tbl>
    <w:p w14:paraId="03BCDA88" w14:textId="77777777" w:rsidR="00560ED1" w:rsidRPr="00387B88" w:rsidRDefault="00560ED1" w:rsidP="00DA6B42">
      <w:pPr>
        <w:suppressAutoHyphens/>
        <w:autoSpaceDN w:val="0"/>
        <w:spacing w:line="254" w:lineRule="auto"/>
        <w:jc w:val="both"/>
        <w:rPr>
          <w:rFonts w:eastAsia="Calibri" w:cstheme="minorHAnsi"/>
          <w:sz w:val="24"/>
          <w:szCs w:val="24"/>
          <w:lang w:val="en-US"/>
        </w:rPr>
      </w:pPr>
      <w:r w:rsidRPr="00387B88">
        <w:rPr>
          <w:rFonts w:eastAsia="Calibri" w:cstheme="minorHAnsi"/>
          <w:sz w:val="24"/>
          <w:szCs w:val="24"/>
          <w:lang w:val="en-US"/>
        </w:rPr>
        <w:t xml:space="preserve">Ova </w:t>
      </w:r>
      <w:proofErr w:type="spellStart"/>
      <w:r w:rsidRPr="00387B88">
        <w:rPr>
          <w:rFonts w:eastAsia="Calibri" w:cstheme="minorHAnsi"/>
          <w:sz w:val="24"/>
          <w:szCs w:val="24"/>
          <w:lang w:val="en-US"/>
        </w:rPr>
        <w:t>aktivnost</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provodi</w:t>
      </w:r>
      <w:proofErr w:type="spellEnd"/>
      <w:r w:rsidRPr="00387B88">
        <w:rPr>
          <w:rFonts w:eastAsia="Calibri" w:cstheme="minorHAnsi"/>
          <w:sz w:val="24"/>
          <w:szCs w:val="24"/>
          <w:lang w:val="en-US"/>
        </w:rPr>
        <w:t xml:space="preserve"> se </w:t>
      </w:r>
      <w:proofErr w:type="spellStart"/>
      <w:r w:rsidRPr="00387B88">
        <w:rPr>
          <w:rFonts w:eastAsia="Calibri" w:cstheme="minorHAnsi"/>
          <w:sz w:val="24"/>
          <w:szCs w:val="24"/>
          <w:lang w:val="en-US"/>
        </w:rPr>
        <w:t>svake</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godine</w:t>
      </w:r>
      <w:proofErr w:type="spellEnd"/>
    </w:p>
    <w:p w14:paraId="7F184EBF" w14:textId="47B22093" w:rsidR="00560ED1" w:rsidRDefault="00560ED1" w:rsidP="00DA6B42">
      <w:pPr>
        <w:pStyle w:val="NormalWeb"/>
        <w:shd w:val="clear" w:color="auto" w:fill="FFFFFF"/>
        <w:spacing w:before="0" w:beforeAutospacing="0" w:after="150" w:afterAutospacing="0"/>
        <w:jc w:val="both"/>
        <w:rPr>
          <w:rFonts w:asciiTheme="minorHAnsi" w:hAnsiTheme="minorHAnsi" w:cstheme="minorHAnsi"/>
          <w:color w:val="1C2833"/>
          <w:sz w:val="24"/>
          <w:szCs w:val="24"/>
        </w:rPr>
      </w:pPr>
      <w:proofErr w:type="spellStart"/>
      <w:r w:rsidRPr="00387B88">
        <w:rPr>
          <w:rFonts w:asciiTheme="minorHAnsi" w:hAnsiTheme="minorHAnsi" w:cstheme="minorHAnsi"/>
          <w:color w:val="1C2833"/>
          <w:sz w:val="24"/>
          <w:szCs w:val="24"/>
        </w:rPr>
        <w:t>Seizmološka</w:t>
      </w:r>
      <w:proofErr w:type="spellEnd"/>
      <w:r w:rsidRPr="00387B88">
        <w:rPr>
          <w:rFonts w:asciiTheme="minorHAnsi" w:hAnsiTheme="minorHAnsi" w:cstheme="minorHAnsi"/>
          <w:color w:val="1C2833"/>
          <w:sz w:val="24"/>
          <w:szCs w:val="24"/>
        </w:rPr>
        <w:t xml:space="preserve"> služba se brine o </w:t>
      </w:r>
      <w:proofErr w:type="spellStart"/>
      <w:r w:rsidRPr="00387B88">
        <w:rPr>
          <w:rFonts w:asciiTheme="minorHAnsi" w:hAnsiTheme="minorHAnsi" w:cstheme="minorHAnsi"/>
          <w:color w:val="1C2833"/>
          <w:sz w:val="24"/>
          <w:szCs w:val="24"/>
        </w:rPr>
        <w:t>prikupljanju</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i</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analizi</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makroseizmičkih</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i</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mikroseizmičkih</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podataka</w:t>
      </w:r>
      <w:proofErr w:type="spellEnd"/>
      <w:r w:rsidRPr="00387B88">
        <w:rPr>
          <w:rFonts w:asciiTheme="minorHAnsi" w:hAnsiTheme="minorHAnsi" w:cstheme="minorHAnsi"/>
          <w:color w:val="1C2833"/>
          <w:sz w:val="24"/>
          <w:szCs w:val="24"/>
        </w:rPr>
        <w:t xml:space="preserve">. Na </w:t>
      </w:r>
      <w:proofErr w:type="spellStart"/>
      <w:r w:rsidRPr="00387B88">
        <w:rPr>
          <w:rFonts w:asciiTheme="minorHAnsi" w:hAnsiTheme="minorHAnsi" w:cstheme="minorHAnsi"/>
          <w:color w:val="1C2833"/>
          <w:sz w:val="24"/>
          <w:szCs w:val="24"/>
        </w:rPr>
        <w:t>području</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Hrvatske</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održava</w:t>
      </w:r>
      <w:proofErr w:type="spellEnd"/>
      <w:r w:rsidRPr="00387B88">
        <w:rPr>
          <w:rFonts w:asciiTheme="minorHAnsi" w:hAnsiTheme="minorHAnsi" w:cstheme="minorHAnsi"/>
          <w:color w:val="1C2833"/>
          <w:sz w:val="24"/>
          <w:szCs w:val="24"/>
        </w:rPr>
        <w:t xml:space="preserve"> se u </w:t>
      </w:r>
      <w:proofErr w:type="spellStart"/>
      <w:r w:rsidRPr="00387B88">
        <w:rPr>
          <w:rFonts w:asciiTheme="minorHAnsi" w:hAnsiTheme="minorHAnsi" w:cstheme="minorHAnsi"/>
          <w:color w:val="1C2833"/>
          <w:sz w:val="24"/>
          <w:szCs w:val="24"/>
        </w:rPr>
        <w:t>stalnom</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radu</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mreža</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digitalnih</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seizmografa</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i</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akcelerografa</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kojima</w:t>
      </w:r>
      <w:proofErr w:type="spellEnd"/>
      <w:r w:rsidRPr="00387B88">
        <w:rPr>
          <w:rFonts w:asciiTheme="minorHAnsi" w:hAnsiTheme="minorHAnsi" w:cstheme="minorHAnsi"/>
          <w:color w:val="1C2833"/>
          <w:sz w:val="24"/>
          <w:szCs w:val="24"/>
        </w:rPr>
        <w:t xml:space="preserve"> se </w:t>
      </w:r>
      <w:proofErr w:type="spellStart"/>
      <w:r w:rsidRPr="00387B88">
        <w:rPr>
          <w:rFonts w:asciiTheme="minorHAnsi" w:hAnsiTheme="minorHAnsi" w:cstheme="minorHAnsi"/>
          <w:color w:val="1C2833"/>
          <w:sz w:val="24"/>
          <w:szCs w:val="24"/>
        </w:rPr>
        <w:t>prati</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vibriranje</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tla</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uzrokovano</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potresima</w:t>
      </w:r>
      <w:proofErr w:type="spellEnd"/>
      <w:r w:rsidRPr="00387B88">
        <w:rPr>
          <w:rFonts w:asciiTheme="minorHAnsi" w:hAnsiTheme="minorHAnsi" w:cstheme="minorHAnsi"/>
          <w:color w:val="1C2833"/>
          <w:sz w:val="24"/>
          <w:szCs w:val="24"/>
        </w:rPr>
        <w:t xml:space="preserve"> u </w:t>
      </w:r>
      <w:proofErr w:type="spellStart"/>
      <w:r w:rsidRPr="00387B88">
        <w:rPr>
          <w:rFonts w:asciiTheme="minorHAnsi" w:hAnsiTheme="minorHAnsi" w:cstheme="minorHAnsi"/>
          <w:color w:val="1C2833"/>
          <w:sz w:val="24"/>
          <w:szCs w:val="24"/>
        </w:rPr>
        <w:t>nas</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i</w:t>
      </w:r>
      <w:proofErr w:type="spellEnd"/>
      <w:r w:rsidRPr="00387B88">
        <w:rPr>
          <w:rFonts w:asciiTheme="minorHAnsi" w:hAnsiTheme="minorHAnsi" w:cstheme="minorHAnsi"/>
          <w:color w:val="1C2833"/>
          <w:sz w:val="24"/>
          <w:szCs w:val="24"/>
        </w:rPr>
        <w:t xml:space="preserve"> u </w:t>
      </w:r>
      <w:proofErr w:type="spellStart"/>
      <w:r w:rsidRPr="00387B88">
        <w:rPr>
          <w:rFonts w:asciiTheme="minorHAnsi" w:hAnsiTheme="minorHAnsi" w:cstheme="minorHAnsi"/>
          <w:color w:val="1C2833"/>
          <w:sz w:val="24"/>
          <w:szCs w:val="24"/>
        </w:rPr>
        <w:t>svijetu</w:t>
      </w:r>
      <w:proofErr w:type="spellEnd"/>
      <w:r w:rsidRPr="00387B88">
        <w:rPr>
          <w:rFonts w:asciiTheme="minorHAnsi" w:hAnsiTheme="minorHAnsi" w:cstheme="minorHAnsi"/>
          <w:color w:val="1C2833"/>
          <w:sz w:val="24"/>
          <w:szCs w:val="24"/>
        </w:rPr>
        <w:t xml:space="preserve">. Na </w:t>
      </w:r>
      <w:proofErr w:type="spellStart"/>
      <w:r w:rsidRPr="00387B88">
        <w:rPr>
          <w:rFonts w:asciiTheme="minorHAnsi" w:hAnsiTheme="minorHAnsi" w:cstheme="minorHAnsi"/>
          <w:color w:val="1C2833"/>
          <w:sz w:val="24"/>
          <w:szCs w:val="24"/>
        </w:rPr>
        <w:t>temelju</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zapisa</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potresa</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daju</w:t>
      </w:r>
      <w:proofErr w:type="spellEnd"/>
      <w:r w:rsidRPr="00387B88">
        <w:rPr>
          <w:rFonts w:asciiTheme="minorHAnsi" w:hAnsiTheme="minorHAnsi" w:cstheme="minorHAnsi"/>
          <w:color w:val="1C2833"/>
          <w:sz w:val="24"/>
          <w:szCs w:val="24"/>
        </w:rPr>
        <w:t xml:space="preserve"> se </w:t>
      </w:r>
      <w:proofErr w:type="spellStart"/>
      <w:r w:rsidRPr="00387B88">
        <w:rPr>
          <w:rFonts w:asciiTheme="minorHAnsi" w:hAnsiTheme="minorHAnsi" w:cstheme="minorHAnsi"/>
          <w:color w:val="1C2833"/>
          <w:sz w:val="24"/>
          <w:szCs w:val="24"/>
        </w:rPr>
        <w:t>obavijesti</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građanstvu</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i</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raznim</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službama</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te</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stručne</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ekspertize</w:t>
      </w:r>
      <w:proofErr w:type="spellEnd"/>
      <w:r w:rsidRPr="00387B88">
        <w:rPr>
          <w:rFonts w:asciiTheme="minorHAnsi" w:hAnsiTheme="minorHAnsi" w:cstheme="minorHAnsi"/>
          <w:color w:val="1C2833"/>
          <w:sz w:val="24"/>
          <w:szCs w:val="24"/>
        </w:rPr>
        <w:t xml:space="preserve"> za </w:t>
      </w:r>
      <w:proofErr w:type="spellStart"/>
      <w:r w:rsidRPr="00387B88">
        <w:rPr>
          <w:rFonts w:asciiTheme="minorHAnsi" w:hAnsiTheme="minorHAnsi" w:cstheme="minorHAnsi"/>
          <w:color w:val="1C2833"/>
          <w:sz w:val="24"/>
          <w:szCs w:val="24"/>
        </w:rPr>
        <w:t>graditelje</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osiguravateljske</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kuće</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i</w:t>
      </w:r>
      <w:proofErr w:type="spellEnd"/>
      <w:r w:rsidRPr="00387B88">
        <w:rPr>
          <w:rFonts w:asciiTheme="minorHAnsi" w:hAnsiTheme="minorHAnsi" w:cstheme="minorHAnsi"/>
          <w:color w:val="1C2833"/>
          <w:sz w:val="24"/>
          <w:szCs w:val="24"/>
        </w:rPr>
        <w:t xml:space="preserve"> sl. </w:t>
      </w:r>
      <w:proofErr w:type="spellStart"/>
      <w:r w:rsidRPr="00387B88">
        <w:rPr>
          <w:rFonts w:asciiTheme="minorHAnsi" w:hAnsiTheme="minorHAnsi" w:cstheme="minorHAnsi"/>
          <w:color w:val="1C2833"/>
          <w:sz w:val="24"/>
          <w:szCs w:val="24"/>
        </w:rPr>
        <w:t>Seizmološka</w:t>
      </w:r>
      <w:proofErr w:type="spellEnd"/>
      <w:r w:rsidRPr="00387B88">
        <w:rPr>
          <w:rFonts w:asciiTheme="minorHAnsi" w:hAnsiTheme="minorHAnsi" w:cstheme="minorHAnsi"/>
          <w:color w:val="1C2833"/>
          <w:sz w:val="24"/>
          <w:szCs w:val="24"/>
        </w:rPr>
        <w:t xml:space="preserve"> Služba </w:t>
      </w:r>
      <w:proofErr w:type="spellStart"/>
      <w:r w:rsidRPr="00387B88">
        <w:rPr>
          <w:rFonts w:asciiTheme="minorHAnsi" w:hAnsiTheme="minorHAnsi" w:cstheme="minorHAnsi"/>
          <w:color w:val="1C2833"/>
          <w:sz w:val="24"/>
          <w:szCs w:val="24"/>
        </w:rPr>
        <w:t>djeluje</w:t>
      </w:r>
      <w:proofErr w:type="spellEnd"/>
      <w:r w:rsidRPr="00387B88">
        <w:rPr>
          <w:rFonts w:asciiTheme="minorHAnsi" w:hAnsiTheme="minorHAnsi" w:cstheme="minorHAnsi"/>
          <w:color w:val="1C2833"/>
          <w:sz w:val="24"/>
          <w:szCs w:val="24"/>
        </w:rPr>
        <w:t xml:space="preserve"> u </w:t>
      </w:r>
      <w:proofErr w:type="spellStart"/>
      <w:r w:rsidRPr="00387B88">
        <w:rPr>
          <w:rFonts w:asciiTheme="minorHAnsi" w:hAnsiTheme="minorHAnsi" w:cstheme="minorHAnsi"/>
          <w:color w:val="1C2833"/>
          <w:sz w:val="24"/>
          <w:szCs w:val="24"/>
        </w:rPr>
        <w:t>okviru</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Geofizičkog</w:t>
      </w:r>
      <w:proofErr w:type="spellEnd"/>
      <w:r w:rsidRPr="00387B88">
        <w:rPr>
          <w:rFonts w:asciiTheme="minorHAnsi" w:hAnsiTheme="minorHAnsi" w:cstheme="minorHAnsi"/>
          <w:color w:val="1C2833"/>
          <w:sz w:val="24"/>
          <w:szCs w:val="24"/>
        </w:rPr>
        <w:t xml:space="preserve"> </w:t>
      </w:r>
      <w:proofErr w:type="spellStart"/>
      <w:r w:rsidRPr="00387B88">
        <w:rPr>
          <w:rFonts w:asciiTheme="minorHAnsi" w:hAnsiTheme="minorHAnsi" w:cstheme="minorHAnsi"/>
          <w:color w:val="1C2833"/>
          <w:sz w:val="24"/>
          <w:szCs w:val="24"/>
        </w:rPr>
        <w:t>odsjeka</w:t>
      </w:r>
      <w:proofErr w:type="spellEnd"/>
      <w:r w:rsidRPr="00387B88">
        <w:rPr>
          <w:rFonts w:asciiTheme="minorHAnsi" w:hAnsiTheme="minorHAnsi" w:cstheme="minorHAnsi"/>
          <w:color w:val="1C2833"/>
          <w:sz w:val="24"/>
          <w:szCs w:val="24"/>
        </w:rPr>
        <w:t xml:space="preserve"> PMF-a.</w:t>
      </w:r>
    </w:p>
    <w:p w14:paraId="179871E2" w14:textId="0033B014" w:rsidR="009F57BD" w:rsidRPr="00387B88" w:rsidRDefault="009F57BD" w:rsidP="00DA6B42">
      <w:pPr>
        <w:pStyle w:val="NormalWeb"/>
        <w:shd w:val="clear" w:color="auto" w:fill="FFFFFF"/>
        <w:spacing w:after="150"/>
        <w:jc w:val="both"/>
        <w:rPr>
          <w:rFonts w:asciiTheme="minorHAnsi" w:hAnsiTheme="minorHAnsi" w:cstheme="minorHAnsi"/>
          <w:color w:val="1C2833"/>
          <w:sz w:val="24"/>
          <w:szCs w:val="24"/>
        </w:rPr>
      </w:pPr>
      <w:proofErr w:type="spellStart"/>
      <w:r>
        <w:rPr>
          <w:rFonts w:asciiTheme="minorHAnsi" w:hAnsiTheme="minorHAnsi" w:cstheme="minorHAnsi"/>
          <w:color w:val="1C2833"/>
          <w:sz w:val="24"/>
          <w:szCs w:val="24"/>
        </w:rPr>
        <w:t>Geomagnetski</w:t>
      </w:r>
      <w:proofErr w:type="spellEnd"/>
      <w:r>
        <w:rPr>
          <w:rFonts w:asciiTheme="minorHAnsi" w:hAnsiTheme="minorHAnsi" w:cstheme="minorHAnsi"/>
          <w:color w:val="1C2833"/>
          <w:sz w:val="24"/>
          <w:szCs w:val="24"/>
        </w:rPr>
        <w:t xml:space="preserve"> </w:t>
      </w:r>
      <w:proofErr w:type="spellStart"/>
      <w:r>
        <w:rPr>
          <w:rFonts w:asciiTheme="minorHAnsi" w:hAnsiTheme="minorHAnsi" w:cstheme="minorHAnsi"/>
          <w:color w:val="1C2833"/>
          <w:sz w:val="24"/>
          <w:szCs w:val="24"/>
        </w:rPr>
        <w:t>opservatorij</w:t>
      </w:r>
      <w:r w:rsidR="0046031C">
        <w:rPr>
          <w:rFonts w:asciiTheme="minorHAnsi" w:hAnsiTheme="minorHAnsi" w:cstheme="minorHAnsi"/>
          <w:color w:val="1C2833"/>
          <w:sz w:val="24"/>
          <w:szCs w:val="24"/>
        </w:rPr>
        <w:t>i</w:t>
      </w:r>
      <w:proofErr w:type="spellEnd"/>
      <w:r w:rsid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ustrojen</w:t>
      </w:r>
      <w:r w:rsidR="0046031C">
        <w:rPr>
          <w:rFonts w:asciiTheme="minorHAnsi" w:hAnsiTheme="minorHAnsi" w:cstheme="minorHAnsi"/>
          <w:color w:val="1C2833"/>
          <w:sz w:val="24"/>
          <w:szCs w:val="24"/>
        </w:rPr>
        <w:t>i</w:t>
      </w:r>
      <w:proofErr w:type="spellEnd"/>
      <w:r w:rsidR="0046031C" w:rsidRPr="0046031C">
        <w:rPr>
          <w:rFonts w:asciiTheme="minorHAnsi" w:hAnsiTheme="minorHAnsi" w:cstheme="minorHAnsi"/>
          <w:color w:val="1C2833"/>
          <w:sz w:val="24"/>
          <w:szCs w:val="24"/>
        </w:rPr>
        <w:t xml:space="preserve"> </w:t>
      </w:r>
      <w:proofErr w:type="spellStart"/>
      <w:r w:rsidR="0046031C">
        <w:rPr>
          <w:rFonts w:asciiTheme="minorHAnsi" w:hAnsiTheme="minorHAnsi" w:cstheme="minorHAnsi"/>
          <w:color w:val="1C2833"/>
          <w:sz w:val="24"/>
          <w:szCs w:val="24"/>
        </w:rPr>
        <w:t>su</w:t>
      </w:r>
      <w:proofErr w:type="spellEnd"/>
      <w:r w:rsidR="0046031C">
        <w:rPr>
          <w:rFonts w:asciiTheme="minorHAnsi" w:hAnsiTheme="minorHAnsi" w:cstheme="minorHAnsi"/>
          <w:color w:val="1C2833"/>
          <w:sz w:val="24"/>
          <w:szCs w:val="24"/>
        </w:rPr>
        <w:t xml:space="preserve"> </w:t>
      </w:r>
      <w:r w:rsidR="0046031C" w:rsidRPr="0046031C">
        <w:rPr>
          <w:rFonts w:asciiTheme="minorHAnsi" w:hAnsiTheme="minorHAnsi" w:cstheme="minorHAnsi"/>
          <w:color w:val="1C2833"/>
          <w:sz w:val="24"/>
          <w:szCs w:val="24"/>
        </w:rPr>
        <w:t xml:space="preserve">za </w:t>
      </w:r>
      <w:proofErr w:type="spellStart"/>
      <w:r w:rsidR="0046031C" w:rsidRPr="0046031C">
        <w:rPr>
          <w:rFonts w:asciiTheme="minorHAnsi" w:hAnsiTheme="minorHAnsi" w:cstheme="minorHAnsi"/>
          <w:color w:val="1C2833"/>
          <w:sz w:val="24"/>
          <w:szCs w:val="24"/>
        </w:rPr>
        <w:t>obavljanje</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mjerenja</w:t>
      </w:r>
      <w:proofErr w:type="spellEnd"/>
      <w:r w:rsid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geomagnetskih</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parametara</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promjene</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razine</w:t>
      </w:r>
      <w:proofErr w:type="spellEnd"/>
      <w:r w:rsidR="0046031C" w:rsidRPr="0046031C">
        <w:rPr>
          <w:rFonts w:asciiTheme="minorHAnsi" w:hAnsiTheme="minorHAnsi" w:cstheme="minorHAnsi"/>
          <w:color w:val="1C2833"/>
          <w:sz w:val="24"/>
          <w:szCs w:val="24"/>
        </w:rPr>
        <w:t xml:space="preserve"> mora </w:t>
      </w:r>
      <w:proofErr w:type="spellStart"/>
      <w:r w:rsidR="0046031C" w:rsidRPr="0046031C">
        <w:rPr>
          <w:rFonts w:asciiTheme="minorHAnsi" w:hAnsiTheme="minorHAnsi" w:cstheme="minorHAnsi"/>
          <w:color w:val="1C2833"/>
          <w:sz w:val="24"/>
          <w:szCs w:val="24"/>
        </w:rPr>
        <w:t>i</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meteorolo</w:t>
      </w:r>
      <w:r w:rsidR="003A05C7">
        <w:rPr>
          <w:rFonts w:asciiTheme="minorHAnsi" w:hAnsiTheme="minorHAnsi" w:cstheme="minorHAnsi"/>
          <w:color w:val="1C2833"/>
          <w:sz w:val="24"/>
          <w:szCs w:val="24"/>
        </w:rPr>
        <w:t>š</w:t>
      </w:r>
      <w:r w:rsidR="0046031C" w:rsidRPr="0046031C">
        <w:rPr>
          <w:rFonts w:asciiTheme="minorHAnsi" w:hAnsiTheme="minorHAnsi" w:cstheme="minorHAnsi"/>
          <w:color w:val="1C2833"/>
          <w:sz w:val="24"/>
          <w:szCs w:val="24"/>
        </w:rPr>
        <w:t>kih</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veli</w:t>
      </w:r>
      <w:r w:rsidR="003A05C7">
        <w:rPr>
          <w:rFonts w:asciiTheme="minorHAnsi" w:hAnsiTheme="minorHAnsi" w:cstheme="minorHAnsi"/>
          <w:color w:val="1C2833"/>
          <w:sz w:val="24"/>
          <w:szCs w:val="24"/>
        </w:rPr>
        <w:t>č</w:t>
      </w:r>
      <w:r w:rsidR="0046031C" w:rsidRPr="0046031C">
        <w:rPr>
          <w:rFonts w:asciiTheme="minorHAnsi" w:hAnsiTheme="minorHAnsi" w:cstheme="minorHAnsi"/>
          <w:color w:val="1C2833"/>
          <w:sz w:val="24"/>
          <w:szCs w:val="24"/>
        </w:rPr>
        <w:t>ina</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te</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znanstvenog</w:t>
      </w:r>
      <w:proofErr w:type="spellEnd"/>
      <w:r w:rsidR="0046031C" w:rsidRPr="0046031C">
        <w:rPr>
          <w:rFonts w:asciiTheme="minorHAnsi" w:hAnsiTheme="minorHAnsi" w:cstheme="minorHAnsi"/>
          <w:color w:val="1C2833"/>
          <w:sz w:val="24"/>
          <w:szCs w:val="24"/>
        </w:rPr>
        <w:t>,</w:t>
      </w:r>
      <w:r w:rsid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stru</w:t>
      </w:r>
      <w:r w:rsidR="0046031C">
        <w:rPr>
          <w:rFonts w:asciiTheme="minorHAnsi" w:hAnsiTheme="minorHAnsi" w:cstheme="minorHAnsi"/>
          <w:color w:val="1C2833"/>
          <w:sz w:val="24"/>
          <w:szCs w:val="24"/>
        </w:rPr>
        <w:t>č</w:t>
      </w:r>
      <w:r w:rsidR="0046031C" w:rsidRPr="0046031C">
        <w:rPr>
          <w:rFonts w:asciiTheme="minorHAnsi" w:hAnsiTheme="minorHAnsi" w:cstheme="minorHAnsi"/>
          <w:color w:val="1C2833"/>
          <w:sz w:val="24"/>
          <w:szCs w:val="24"/>
        </w:rPr>
        <w:t>nog</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i</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obrazovnog</w:t>
      </w:r>
      <w:proofErr w:type="spellEnd"/>
      <w:r w:rsidR="0046031C" w:rsidRPr="0046031C">
        <w:rPr>
          <w:rFonts w:asciiTheme="minorHAnsi" w:hAnsiTheme="minorHAnsi" w:cstheme="minorHAnsi"/>
          <w:color w:val="1C2833"/>
          <w:sz w:val="24"/>
          <w:szCs w:val="24"/>
        </w:rPr>
        <w:t xml:space="preserve"> </w:t>
      </w:r>
      <w:proofErr w:type="spellStart"/>
      <w:r w:rsidR="0046031C" w:rsidRPr="0046031C">
        <w:rPr>
          <w:rFonts w:asciiTheme="minorHAnsi" w:hAnsiTheme="minorHAnsi" w:cstheme="minorHAnsi"/>
          <w:color w:val="1C2833"/>
          <w:sz w:val="24"/>
          <w:szCs w:val="24"/>
        </w:rPr>
        <w:t>rada</w:t>
      </w:r>
      <w:proofErr w:type="spellEnd"/>
      <w:r w:rsidR="0046031C">
        <w:rPr>
          <w:rFonts w:asciiTheme="minorHAnsi" w:hAnsiTheme="minorHAnsi" w:cstheme="minorHAnsi"/>
          <w:color w:val="1C2833"/>
          <w:sz w:val="24"/>
          <w:szCs w:val="24"/>
        </w:rPr>
        <w:t xml:space="preserve">, </w:t>
      </w:r>
      <w:proofErr w:type="gramStart"/>
      <w:r w:rsidR="0046031C">
        <w:rPr>
          <w:rFonts w:asciiTheme="minorHAnsi" w:hAnsiTheme="minorHAnsi" w:cstheme="minorHAnsi"/>
          <w:color w:val="1C2833"/>
          <w:sz w:val="24"/>
          <w:szCs w:val="24"/>
        </w:rPr>
        <w:t>a</w:t>
      </w:r>
      <w:proofErr w:type="gramEnd"/>
      <w:r w:rsidR="0046031C">
        <w:rPr>
          <w:rFonts w:asciiTheme="minorHAnsi" w:hAnsiTheme="minorHAnsi" w:cstheme="minorHAnsi"/>
          <w:color w:val="1C2833"/>
          <w:sz w:val="24"/>
          <w:szCs w:val="24"/>
        </w:rPr>
        <w:t xml:space="preserve"> </w:t>
      </w:r>
      <w:proofErr w:type="spellStart"/>
      <w:r w:rsidR="0046031C">
        <w:rPr>
          <w:rFonts w:asciiTheme="minorHAnsi" w:hAnsiTheme="minorHAnsi" w:cstheme="minorHAnsi"/>
          <w:color w:val="1C2833"/>
          <w:sz w:val="24"/>
          <w:szCs w:val="24"/>
        </w:rPr>
        <w:t>obuhvaćaju</w:t>
      </w:r>
      <w:proofErr w:type="spellEnd"/>
      <w:r w:rsidR="0046031C">
        <w:rPr>
          <w:rFonts w:asciiTheme="minorHAnsi" w:hAnsiTheme="minorHAnsi" w:cstheme="minorHAnsi"/>
          <w:color w:val="1C2833"/>
          <w:sz w:val="24"/>
          <w:szCs w:val="24"/>
        </w:rPr>
        <w:t>:</w:t>
      </w:r>
      <w:r>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Geomagnetski</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opservatorij</w:t>
      </w:r>
      <w:r w:rsidR="0046031C">
        <w:rPr>
          <w:rFonts w:asciiTheme="minorHAnsi" w:hAnsiTheme="minorHAnsi" w:cstheme="minorHAnsi"/>
          <w:color w:val="1C2833"/>
          <w:sz w:val="24"/>
          <w:szCs w:val="24"/>
        </w:rPr>
        <w:t>i</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Lonjsko</w:t>
      </w:r>
      <w:proofErr w:type="spellEnd"/>
      <w:r w:rsidRPr="009F57BD">
        <w:rPr>
          <w:rFonts w:asciiTheme="minorHAnsi" w:hAnsiTheme="minorHAnsi" w:cstheme="minorHAnsi"/>
          <w:color w:val="1C2833"/>
          <w:sz w:val="24"/>
          <w:szCs w:val="24"/>
        </w:rPr>
        <w:t xml:space="preserve"> polje, </w:t>
      </w:r>
      <w:proofErr w:type="spellStart"/>
      <w:r w:rsidRPr="009F57BD">
        <w:rPr>
          <w:rFonts w:asciiTheme="minorHAnsi" w:hAnsiTheme="minorHAnsi" w:cstheme="minorHAnsi"/>
          <w:color w:val="1C2833"/>
          <w:sz w:val="24"/>
          <w:szCs w:val="24"/>
        </w:rPr>
        <w:t>Mareografsku</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postaju</w:t>
      </w:r>
      <w:proofErr w:type="spellEnd"/>
      <w:r w:rsidRPr="009F57BD">
        <w:rPr>
          <w:rFonts w:asciiTheme="minorHAnsi" w:hAnsiTheme="minorHAnsi" w:cstheme="minorHAnsi"/>
          <w:color w:val="1C2833"/>
          <w:sz w:val="24"/>
          <w:szCs w:val="24"/>
        </w:rPr>
        <w:t xml:space="preserve"> Bakar </w:t>
      </w:r>
      <w:proofErr w:type="spellStart"/>
      <w:r w:rsidRPr="009F57BD">
        <w:rPr>
          <w:rFonts w:asciiTheme="minorHAnsi" w:hAnsiTheme="minorHAnsi" w:cstheme="minorHAnsi"/>
          <w:color w:val="1C2833"/>
          <w:sz w:val="24"/>
          <w:szCs w:val="24"/>
        </w:rPr>
        <w:t>i</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Meteorolo</w:t>
      </w:r>
      <w:r w:rsidR="0046031C">
        <w:rPr>
          <w:rFonts w:asciiTheme="minorHAnsi" w:hAnsiTheme="minorHAnsi" w:cstheme="minorHAnsi"/>
          <w:color w:val="1C2833"/>
          <w:sz w:val="24"/>
          <w:szCs w:val="24"/>
        </w:rPr>
        <w:t>š</w:t>
      </w:r>
      <w:r w:rsidRPr="009F57BD">
        <w:rPr>
          <w:rFonts w:asciiTheme="minorHAnsi" w:hAnsiTheme="minorHAnsi" w:cstheme="minorHAnsi"/>
          <w:color w:val="1C2833"/>
          <w:sz w:val="24"/>
          <w:szCs w:val="24"/>
        </w:rPr>
        <w:t>ke</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postaje</w:t>
      </w:r>
      <w:proofErr w:type="spellEnd"/>
      <w:r w:rsidR="0046031C">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Horvatovac</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i</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Puntijarka</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te</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Mikrometeorolo</w:t>
      </w:r>
      <w:r w:rsidR="0046031C">
        <w:rPr>
          <w:rFonts w:asciiTheme="minorHAnsi" w:hAnsiTheme="minorHAnsi" w:cstheme="minorHAnsi"/>
          <w:color w:val="1C2833"/>
          <w:sz w:val="24"/>
          <w:szCs w:val="24"/>
        </w:rPr>
        <w:t>š</w:t>
      </w:r>
      <w:r w:rsidRPr="009F57BD">
        <w:rPr>
          <w:rFonts w:asciiTheme="minorHAnsi" w:hAnsiTheme="minorHAnsi" w:cstheme="minorHAnsi"/>
          <w:color w:val="1C2833"/>
          <w:sz w:val="24"/>
          <w:szCs w:val="24"/>
        </w:rPr>
        <w:t>ku</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postaju</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na</w:t>
      </w:r>
      <w:proofErr w:type="spellEnd"/>
      <w:r w:rsidRPr="009F57BD">
        <w:rPr>
          <w:rFonts w:asciiTheme="minorHAnsi" w:hAnsiTheme="minorHAnsi" w:cstheme="minorHAnsi"/>
          <w:color w:val="1C2833"/>
          <w:sz w:val="24"/>
          <w:szCs w:val="24"/>
        </w:rPr>
        <w:t xml:space="preserve"> </w:t>
      </w:r>
      <w:proofErr w:type="spellStart"/>
      <w:r w:rsidRPr="009F57BD">
        <w:rPr>
          <w:rFonts w:asciiTheme="minorHAnsi" w:hAnsiTheme="minorHAnsi" w:cstheme="minorHAnsi"/>
          <w:color w:val="1C2833"/>
          <w:sz w:val="24"/>
          <w:szCs w:val="24"/>
        </w:rPr>
        <w:t>Maslenici</w:t>
      </w:r>
      <w:proofErr w:type="spellEnd"/>
      <w:r w:rsidR="003A05C7">
        <w:rPr>
          <w:rFonts w:asciiTheme="minorHAnsi" w:hAnsiTheme="minorHAnsi" w:cstheme="minorHAnsi"/>
          <w:color w:val="1C2833"/>
          <w:sz w:val="24"/>
          <w:szCs w:val="24"/>
        </w:rPr>
        <w:t xml:space="preserve">. </w:t>
      </w:r>
      <w:proofErr w:type="spellStart"/>
      <w:r w:rsidR="003A05C7">
        <w:rPr>
          <w:rFonts w:asciiTheme="minorHAnsi" w:hAnsiTheme="minorHAnsi" w:cstheme="minorHAnsi"/>
          <w:color w:val="1C2833"/>
          <w:sz w:val="24"/>
          <w:szCs w:val="24"/>
        </w:rPr>
        <w:t>Geomagnetski</w:t>
      </w:r>
      <w:proofErr w:type="spellEnd"/>
      <w:r w:rsidR="003A05C7">
        <w:rPr>
          <w:rFonts w:asciiTheme="minorHAnsi" w:hAnsiTheme="minorHAnsi" w:cstheme="minorHAnsi"/>
          <w:color w:val="1C2833"/>
          <w:sz w:val="24"/>
          <w:szCs w:val="24"/>
        </w:rPr>
        <w:t xml:space="preserve"> </w:t>
      </w:r>
      <w:proofErr w:type="spellStart"/>
      <w:r w:rsidR="003A05C7">
        <w:rPr>
          <w:rFonts w:asciiTheme="minorHAnsi" w:hAnsiTheme="minorHAnsi" w:cstheme="minorHAnsi"/>
          <w:color w:val="1C2833"/>
          <w:sz w:val="24"/>
          <w:szCs w:val="24"/>
        </w:rPr>
        <w:t>opservatoriji</w:t>
      </w:r>
      <w:proofErr w:type="spellEnd"/>
      <w:r w:rsidR="003A05C7">
        <w:rPr>
          <w:rFonts w:asciiTheme="minorHAnsi" w:hAnsiTheme="minorHAnsi" w:cstheme="minorHAnsi"/>
          <w:color w:val="1C2833"/>
          <w:sz w:val="24"/>
          <w:szCs w:val="24"/>
        </w:rPr>
        <w:t xml:space="preserve"> </w:t>
      </w:r>
      <w:proofErr w:type="spellStart"/>
      <w:r w:rsidR="003A05C7">
        <w:rPr>
          <w:rFonts w:asciiTheme="minorHAnsi" w:hAnsiTheme="minorHAnsi" w:cstheme="minorHAnsi"/>
          <w:color w:val="1C2833"/>
          <w:sz w:val="24"/>
          <w:szCs w:val="24"/>
        </w:rPr>
        <w:t>djeluju</w:t>
      </w:r>
      <w:proofErr w:type="spellEnd"/>
      <w:r w:rsidR="003A05C7">
        <w:rPr>
          <w:rFonts w:asciiTheme="minorHAnsi" w:hAnsiTheme="minorHAnsi" w:cstheme="minorHAnsi"/>
          <w:color w:val="1C2833"/>
          <w:sz w:val="24"/>
          <w:szCs w:val="24"/>
        </w:rPr>
        <w:t xml:space="preserve"> u </w:t>
      </w:r>
      <w:proofErr w:type="spellStart"/>
      <w:r w:rsidR="003A05C7">
        <w:rPr>
          <w:rFonts w:asciiTheme="minorHAnsi" w:hAnsiTheme="minorHAnsi" w:cstheme="minorHAnsi"/>
          <w:color w:val="1C2833"/>
          <w:sz w:val="24"/>
          <w:szCs w:val="24"/>
        </w:rPr>
        <w:t>okviru</w:t>
      </w:r>
      <w:proofErr w:type="spellEnd"/>
      <w:r w:rsidR="003A05C7">
        <w:rPr>
          <w:rFonts w:asciiTheme="minorHAnsi" w:hAnsiTheme="minorHAnsi" w:cstheme="minorHAnsi"/>
          <w:color w:val="1C2833"/>
          <w:sz w:val="24"/>
          <w:szCs w:val="24"/>
        </w:rPr>
        <w:t xml:space="preserve"> </w:t>
      </w:r>
      <w:proofErr w:type="spellStart"/>
      <w:r w:rsidR="003A05C7">
        <w:rPr>
          <w:rFonts w:asciiTheme="minorHAnsi" w:hAnsiTheme="minorHAnsi" w:cstheme="minorHAnsi"/>
          <w:color w:val="1C2833"/>
          <w:sz w:val="24"/>
          <w:szCs w:val="24"/>
        </w:rPr>
        <w:t>Geofizičkog</w:t>
      </w:r>
      <w:proofErr w:type="spellEnd"/>
      <w:r w:rsidR="003A05C7">
        <w:rPr>
          <w:rFonts w:asciiTheme="minorHAnsi" w:hAnsiTheme="minorHAnsi" w:cstheme="minorHAnsi"/>
          <w:color w:val="1C2833"/>
          <w:sz w:val="24"/>
          <w:szCs w:val="24"/>
        </w:rPr>
        <w:t xml:space="preserve"> </w:t>
      </w:r>
      <w:proofErr w:type="spellStart"/>
      <w:r w:rsidR="003A05C7">
        <w:rPr>
          <w:rFonts w:asciiTheme="minorHAnsi" w:hAnsiTheme="minorHAnsi" w:cstheme="minorHAnsi"/>
          <w:color w:val="1C2833"/>
          <w:sz w:val="24"/>
          <w:szCs w:val="24"/>
        </w:rPr>
        <w:t>odsjeka</w:t>
      </w:r>
      <w:proofErr w:type="spellEnd"/>
      <w:r w:rsidR="003A05C7">
        <w:rPr>
          <w:rFonts w:asciiTheme="minorHAnsi" w:hAnsiTheme="minorHAnsi" w:cstheme="minorHAnsi"/>
          <w:color w:val="1C2833"/>
          <w:sz w:val="24"/>
          <w:szCs w:val="24"/>
        </w:rPr>
        <w:t xml:space="preserve"> PMF-a.</w:t>
      </w:r>
      <w:r w:rsidRPr="009F57BD">
        <w:rPr>
          <w:rFonts w:asciiTheme="minorHAnsi" w:hAnsiTheme="minorHAnsi" w:cstheme="minorHAnsi"/>
          <w:color w:val="1C2833"/>
          <w:sz w:val="24"/>
          <w:szCs w:val="24"/>
        </w:rPr>
        <w:t xml:space="preserve"> </w:t>
      </w:r>
    </w:p>
    <w:p w14:paraId="6291F031" w14:textId="77777777" w:rsidR="00560ED1" w:rsidRPr="00387B88" w:rsidRDefault="00560ED1" w:rsidP="00DA6B42">
      <w:pPr>
        <w:suppressAutoHyphens/>
        <w:autoSpaceDN w:val="0"/>
        <w:spacing w:line="254" w:lineRule="auto"/>
        <w:jc w:val="both"/>
        <w:rPr>
          <w:rFonts w:eastAsia="Calibri" w:cstheme="minorHAnsi"/>
          <w:sz w:val="24"/>
          <w:szCs w:val="24"/>
          <w:lang w:val="en-US"/>
        </w:rPr>
      </w:pPr>
      <w:proofErr w:type="spellStart"/>
      <w:r w:rsidRPr="00387B88">
        <w:rPr>
          <w:rFonts w:eastAsia="Calibri" w:cstheme="minorHAnsi"/>
          <w:sz w:val="24"/>
          <w:szCs w:val="24"/>
          <w:lang w:val="en-US"/>
        </w:rPr>
        <w:t>Planirana</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sredstva</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isplaćuje</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Ministarstvo</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znanosti</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i</w:t>
      </w:r>
      <w:proofErr w:type="spellEnd"/>
      <w:r w:rsidRPr="00387B88">
        <w:rPr>
          <w:rFonts w:eastAsia="Calibri" w:cstheme="minorHAnsi"/>
          <w:sz w:val="24"/>
          <w:szCs w:val="24"/>
          <w:lang w:val="en-US"/>
        </w:rPr>
        <w:t xml:space="preserve"> </w:t>
      </w:r>
      <w:proofErr w:type="spellStart"/>
      <w:proofErr w:type="gramStart"/>
      <w:r w:rsidRPr="00387B88">
        <w:rPr>
          <w:rFonts w:eastAsia="Calibri" w:cstheme="minorHAnsi"/>
          <w:sz w:val="24"/>
          <w:szCs w:val="24"/>
          <w:lang w:val="en-US"/>
        </w:rPr>
        <w:t>obrazovanja</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na</w:t>
      </w:r>
      <w:proofErr w:type="spellEnd"/>
      <w:proofErr w:type="gram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temelju</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dostavljenih</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troškova</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i</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obveza</w:t>
      </w:r>
      <w:proofErr w:type="spellEnd"/>
      <w:r w:rsidRPr="00387B88">
        <w:rPr>
          <w:rFonts w:eastAsia="Calibri" w:cstheme="minorHAnsi"/>
          <w:sz w:val="24"/>
          <w:szCs w:val="24"/>
          <w:lang w:val="en-US"/>
        </w:rPr>
        <w:t xml:space="preserve"> a u </w:t>
      </w:r>
      <w:proofErr w:type="spellStart"/>
      <w:r w:rsidRPr="00387B88">
        <w:rPr>
          <w:rFonts w:eastAsia="Calibri" w:cstheme="minorHAnsi"/>
          <w:sz w:val="24"/>
          <w:szCs w:val="24"/>
          <w:lang w:val="en-US"/>
        </w:rPr>
        <w:t>skladu</w:t>
      </w:r>
      <w:proofErr w:type="spellEnd"/>
      <w:r w:rsidRPr="00387B88">
        <w:rPr>
          <w:rFonts w:eastAsia="Calibri" w:cstheme="minorHAnsi"/>
          <w:sz w:val="24"/>
          <w:szCs w:val="24"/>
          <w:lang w:val="en-US"/>
        </w:rPr>
        <w:t xml:space="preserve"> s </w:t>
      </w:r>
      <w:proofErr w:type="spellStart"/>
      <w:r w:rsidRPr="00387B88">
        <w:rPr>
          <w:rFonts w:eastAsia="Calibri" w:cstheme="minorHAnsi"/>
          <w:sz w:val="24"/>
          <w:szCs w:val="24"/>
          <w:lang w:val="en-US"/>
        </w:rPr>
        <w:t>financijskim</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planom</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i</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zadanim</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limitom</w:t>
      </w:r>
      <w:proofErr w:type="spellEnd"/>
      <w:r w:rsidRPr="00387B88">
        <w:rPr>
          <w:rFonts w:eastAsia="Calibri" w:cstheme="minorHAnsi"/>
          <w:sz w:val="24"/>
          <w:szCs w:val="24"/>
          <w:lang w:val="en-US"/>
        </w:rPr>
        <w:t xml:space="preserve"> </w:t>
      </w:r>
      <w:proofErr w:type="spellStart"/>
      <w:r w:rsidRPr="00387B88">
        <w:rPr>
          <w:rFonts w:eastAsia="Calibri" w:cstheme="minorHAnsi"/>
          <w:sz w:val="24"/>
          <w:szCs w:val="24"/>
          <w:lang w:val="en-US"/>
        </w:rPr>
        <w:t>financiranja</w:t>
      </w:r>
      <w:proofErr w:type="spellEnd"/>
      <w:r w:rsidRPr="00387B88">
        <w:rPr>
          <w:rFonts w:eastAsia="Calibri" w:cstheme="minorHAnsi"/>
          <w:sz w:val="24"/>
          <w:szCs w:val="24"/>
          <w:lang w:val="en-US"/>
        </w:rPr>
        <w:t>.</w:t>
      </w:r>
    </w:p>
    <w:p w14:paraId="33C1C125" w14:textId="77777777" w:rsidR="002C3BF5" w:rsidRDefault="002C3BF5" w:rsidP="00DA6B42">
      <w:pPr>
        <w:suppressAutoHyphens/>
        <w:autoSpaceDN w:val="0"/>
        <w:spacing w:line="254" w:lineRule="auto"/>
        <w:jc w:val="both"/>
        <w:rPr>
          <w:rFonts w:ascii="Calibri" w:eastAsia="Calibri" w:hAnsi="Calibri"/>
          <w:b/>
          <w:bCs/>
          <w:sz w:val="28"/>
          <w:szCs w:val="28"/>
          <w:lang w:val="en-US"/>
        </w:rPr>
      </w:pPr>
    </w:p>
    <w:p w14:paraId="4B29DAD7" w14:textId="6B9743F4" w:rsidR="00560ED1" w:rsidRPr="005341FE" w:rsidRDefault="00560ED1" w:rsidP="00DA6B42">
      <w:pPr>
        <w:suppressAutoHyphens/>
        <w:autoSpaceDN w:val="0"/>
        <w:spacing w:line="254" w:lineRule="auto"/>
        <w:jc w:val="both"/>
        <w:rPr>
          <w:rFonts w:ascii="Calibri" w:eastAsia="Calibri" w:hAnsi="Calibri"/>
          <w:b/>
          <w:bCs/>
          <w:sz w:val="28"/>
          <w:szCs w:val="28"/>
          <w:lang w:val="en-US"/>
        </w:rPr>
      </w:pPr>
      <w:r w:rsidRPr="005341FE">
        <w:rPr>
          <w:rFonts w:ascii="Calibri" w:eastAsia="Calibri" w:hAnsi="Calibri"/>
          <w:b/>
          <w:bCs/>
          <w:sz w:val="28"/>
          <w:szCs w:val="28"/>
          <w:lang w:val="en-US"/>
        </w:rPr>
        <w:t xml:space="preserve">A679088 </w:t>
      </w:r>
      <w:proofErr w:type="spellStart"/>
      <w:r w:rsidRPr="005341FE">
        <w:rPr>
          <w:rFonts w:ascii="Calibri" w:eastAsia="Calibri" w:hAnsi="Calibri"/>
          <w:b/>
          <w:bCs/>
          <w:sz w:val="28"/>
          <w:szCs w:val="28"/>
          <w:lang w:val="en-US"/>
        </w:rPr>
        <w:t>Redovna</w:t>
      </w:r>
      <w:proofErr w:type="spellEnd"/>
      <w:r w:rsidRPr="005341FE">
        <w:rPr>
          <w:rFonts w:ascii="Calibri" w:eastAsia="Calibri" w:hAnsi="Calibri"/>
          <w:b/>
          <w:bCs/>
          <w:sz w:val="28"/>
          <w:szCs w:val="28"/>
          <w:lang w:val="en-US"/>
        </w:rPr>
        <w:t xml:space="preserve"> </w:t>
      </w:r>
      <w:proofErr w:type="spellStart"/>
      <w:r w:rsidRPr="005341FE">
        <w:rPr>
          <w:rFonts w:ascii="Calibri" w:eastAsia="Calibri" w:hAnsi="Calibri"/>
          <w:b/>
          <w:bCs/>
          <w:sz w:val="28"/>
          <w:szCs w:val="28"/>
          <w:lang w:val="en-US"/>
        </w:rPr>
        <w:t>djelatnost</w:t>
      </w:r>
      <w:proofErr w:type="spellEnd"/>
      <w:r w:rsidRPr="005341FE">
        <w:rPr>
          <w:rFonts w:ascii="Calibri" w:eastAsia="Calibri" w:hAnsi="Calibri"/>
          <w:b/>
          <w:bCs/>
          <w:sz w:val="28"/>
          <w:szCs w:val="28"/>
          <w:lang w:val="en-US"/>
        </w:rPr>
        <w:t xml:space="preserve"> </w:t>
      </w:r>
      <w:proofErr w:type="spellStart"/>
      <w:r w:rsidRPr="005341FE">
        <w:rPr>
          <w:rFonts w:ascii="Calibri" w:eastAsia="Calibri" w:hAnsi="Calibri"/>
          <w:b/>
          <w:bCs/>
          <w:sz w:val="28"/>
          <w:szCs w:val="28"/>
          <w:lang w:val="en-US"/>
        </w:rPr>
        <w:t>Prirodoslovno-matematičkog</w:t>
      </w:r>
      <w:proofErr w:type="spellEnd"/>
      <w:r w:rsidRPr="005341FE">
        <w:rPr>
          <w:rFonts w:ascii="Calibri" w:eastAsia="Calibri" w:hAnsi="Calibri"/>
          <w:b/>
          <w:bCs/>
          <w:sz w:val="28"/>
          <w:szCs w:val="28"/>
          <w:lang w:val="en-US"/>
        </w:rPr>
        <w:t xml:space="preserve"> </w:t>
      </w:r>
      <w:proofErr w:type="spellStart"/>
      <w:r w:rsidRPr="005341FE">
        <w:rPr>
          <w:rFonts w:ascii="Calibri" w:eastAsia="Calibri" w:hAnsi="Calibri"/>
          <w:b/>
          <w:bCs/>
          <w:sz w:val="28"/>
          <w:szCs w:val="28"/>
          <w:lang w:val="en-US"/>
        </w:rPr>
        <w:t>fakulteta</w:t>
      </w:r>
      <w:proofErr w:type="spellEnd"/>
      <w:r w:rsidRPr="005341FE">
        <w:rPr>
          <w:rFonts w:ascii="Calibri" w:eastAsia="Calibri" w:hAnsi="Calibri"/>
          <w:b/>
          <w:bCs/>
          <w:sz w:val="28"/>
          <w:szCs w:val="28"/>
          <w:lang w:val="en-US"/>
        </w:rPr>
        <w:t xml:space="preserve"> </w:t>
      </w:r>
      <w:proofErr w:type="spellStart"/>
      <w:r w:rsidRPr="005341FE">
        <w:rPr>
          <w:rFonts w:ascii="Calibri" w:eastAsia="Calibri" w:hAnsi="Calibri"/>
          <w:b/>
          <w:bCs/>
          <w:sz w:val="28"/>
          <w:szCs w:val="28"/>
          <w:lang w:val="en-US"/>
        </w:rPr>
        <w:t>Sveučilišta</w:t>
      </w:r>
      <w:proofErr w:type="spellEnd"/>
      <w:r w:rsidRPr="005341FE">
        <w:rPr>
          <w:rFonts w:ascii="Calibri" w:eastAsia="Calibri" w:hAnsi="Calibri"/>
          <w:b/>
          <w:bCs/>
          <w:sz w:val="28"/>
          <w:szCs w:val="28"/>
          <w:lang w:val="en-US"/>
        </w:rPr>
        <w:t xml:space="preserve"> U </w:t>
      </w:r>
      <w:proofErr w:type="spellStart"/>
      <w:r w:rsidRPr="005341FE">
        <w:rPr>
          <w:rFonts w:ascii="Calibri" w:eastAsia="Calibri" w:hAnsi="Calibri"/>
          <w:b/>
          <w:bCs/>
          <w:sz w:val="28"/>
          <w:szCs w:val="28"/>
          <w:lang w:val="en-US"/>
        </w:rPr>
        <w:t>Zagrebu</w:t>
      </w:r>
      <w:proofErr w:type="spellEnd"/>
      <w:r w:rsidRPr="005341FE">
        <w:rPr>
          <w:rFonts w:ascii="Calibri" w:eastAsia="Calibri" w:hAnsi="Calibri"/>
          <w:b/>
          <w:bCs/>
          <w:sz w:val="28"/>
          <w:szCs w:val="28"/>
          <w:lang w:val="en-US"/>
        </w:rPr>
        <w:t xml:space="preserve"> (</w:t>
      </w:r>
      <w:proofErr w:type="spellStart"/>
      <w:r w:rsidRPr="005341FE">
        <w:rPr>
          <w:rFonts w:ascii="Calibri" w:eastAsia="Calibri" w:hAnsi="Calibri"/>
          <w:b/>
          <w:bCs/>
          <w:sz w:val="28"/>
          <w:szCs w:val="28"/>
          <w:lang w:val="en-US"/>
        </w:rPr>
        <w:t>iz</w:t>
      </w:r>
      <w:proofErr w:type="spellEnd"/>
      <w:r w:rsidRPr="005341FE">
        <w:rPr>
          <w:rFonts w:ascii="Calibri" w:eastAsia="Calibri" w:hAnsi="Calibri"/>
          <w:b/>
          <w:bCs/>
          <w:sz w:val="28"/>
          <w:szCs w:val="28"/>
          <w:lang w:val="en-US"/>
        </w:rPr>
        <w:t xml:space="preserve"> </w:t>
      </w:r>
      <w:proofErr w:type="spellStart"/>
      <w:r w:rsidRPr="005341FE">
        <w:rPr>
          <w:rFonts w:ascii="Calibri" w:eastAsia="Calibri" w:hAnsi="Calibri"/>
          <w:b/>
          <w:bCs/>
          <w:sz w:val="28"/>
          <w:szCs w:val="28"/>
          <w:lang w:val="en-US"/>
        </w:rPr>
        <w:t>evidencije</w:t>
      </w:r>
      <w:proofErr w:type="spellEnd"/>
      <w:r w:rsidRPr="005341FE">
        <w:rPr>
          <w:rFonts w:ascii="Calibri" w:eastAsia="Calibri" w:hAnsi="Calibri"/>
          <w:b/>
          <w:bCs/>
          <w:sz w:val="28"/>
          <w:szCs w:val="28"/>
          <w:lang w:val="en-US"/>
        </w:rPr>
        <w:t xml:space="preserve"> </w:t>
      </w:r>
      <w:proofErr w:type="spellStart"/>
      <w:r w:rsidRPr="005341FE">
        <w:rPr>
          <w:rFonts w:ascii="Calibri" w:eastAsia="Calibri" w:hAnsi="Calibri"/>
          <w:b/>
          <w:bCs/>
          <w:sz w:val="28"/>
          <w:szCs w:val="28"/>
          <w:lang w:val="en-US"/>
        </w:rPr>
        <w:t>prihoda</w:t>
      </w:r>
      <w:proofErr w:type="spellEnd"/>
      <w:r w:rsidRPr="005341FE">
        <w:rPr>
          <w:rFonts w:ascii="Calibri" w:eastAsia="Calibri" w:hAnsi="Calibri"/>
          <w:b/>
          <w:bCs/>
          <w:sz w:val="28"/>
          <w:szCs w:val="28"/>
          <w:lang w:val="en-US"/>
        </w:rPr>
        <w:t>)</w:t>
      </w:r>
    </w:p>
    <w:p w14:paraId="1FBD4D9D" w14:textId="77777777" w:rsidR="00560ED1" w:rsidRPr="005341FE" w:rsidRDefault="00560ED1" w:rsidP="00DA6B42">
      <w:pPr>
        <w:suppressAutoHyphens/>
        <w:autoSpaceDN w:val="0"/>
        <w:spacing w:line="254" w:lineRule="auto"/>
        <w:jc w:val="both"/>
        <w:rPr>
          <w:rFonts w:ascii="Calibri" w:eastAsia="Calibri" w:hAnsi="Calibri"/>
          <w:lang w:val="en-US"/>
        </w:rPr>
      </w:pPr>
      <w:proofErr w:type="spellStart"/>
      <w:r w:rsidRPr="0087005D">
        <w:rPr>
          <w:rFonts w:ascii="Calibri" w:eastAsia="Calibri" w:hAnsi="Calibri"/>
          <w:i/>
          <w:iCs/>
          <w:sz w:val="24"/>
          <w:szCs w:val="24"/>
          <w:lang w:val="en-US"/>
        </w:rPr>
        <w:t>Zakonske</w:t>
      </w:r>
      <w:proofErr w:type="spellEnd"/>
      <w:r w:rsidRPr="0087005D">
        <w:rPr>
          <w:rFonts w:ascii="Calibri" w:eastAsia="Calibri" w:hAnsi="Calibri"/>
          <w:sz w:val="24"/>
          <w:szCs w:val="24"/>
          <w:lang w:val="en-US"/>
        </w:rPr>
        <w:t xml:space="preserve"> </w:t>
      </w:r>
      <w:proofErr w:type="spellStart"/>
      <w:r w:rsidRPr="0087005D">
        <w:rPr>
          <w:rFonts w:ascii="Calibri" w:eastAsia="Calibri" w:hAnsi="Calibri"/>
          <w:sz w:val="24"/>
          <w:szCs w:val="24"/>
          <w:lang w:val="en-US"/>
        </w:rPr>
        <w:t>i</w:t>
      </w:r>
      <w:proofErr w:type="spellEnd"/>
      <w:r w:rsidRPr="0087005D">
        <w:rPr>
          <w:rFonts w:ascii="Calibri" w:eastAsia="Calibri" w:hAnsi="Calibri"/>
          <w:sz w:val="24"/>
          <w:szCs w:val="24"/>
          <w:lang w:val="en-US"/>
        </w:rPr>
        <w:t xml:space="preserve"> </w:t>
      </w:r>
      <w:proofErr w:type="spellStart"/>
      <w:r w:rsidRPr="0087005D">
        <w:rPr>
          <w:rFonts w:ascii="Calibri" w:eastAsia="Calibri" w:hAnsi="Calibri"/>
          <w:sz w:val="24"/>
          <w:szCs w:val="24"/>
          <w:lang w:val="en-US"/>
        </w:rPr>
        <w:t>druge</w:t>
      </w:r>
      <w:proofErr w:type="spellEnd"/>
      <w:r w:rsidRPr="0087005D">
        <w:rPr>
          <w:rFonts w:ascii="Calibri" w:eastAsia="Calibri" w:hAnsi="Calibri"/>
          <w:sz w:val="24"/>
          <w:szCs w:val="24"/>
          <w:lang w:val="en-US"/>
        </w:rPr>
        <w:t xml:space="preserve"> </w:t>
      </w:r>
      <w:proofErr w:type="spellStart"/>
      <w:r w:rsidRPr="0087005D">
        <w:rPr>
          <w:rFonts w:ascii="Calibri" w:eastAsia="Calibri" w:hAnsi="Calibri"/>
          <w:sz w:val="24"/>
          <w:szCs w:val="24"/>
          <w:lang w:val="en-US"/>
        </w:rPr>
        <w:t>pravne</w:t>
      </w:r>
      <w:proofErr w:type="spellEnd"/>
      <w:r w:rsidRPr="0087005D">
        <w:rPr>
          <w:rFonts w:ascii="Calibri" w:eastAsia="Calibri" w:hAnsi="Calibri"/>
          <w:sz w:val="24"/>
          <w:szCs w:val="24"/>
          <w:lang w:val="en-US"/>
        </w:rPr>
        <w:t xml:space="preserve"> </w:t>
      </w:r>
      <w:proofErr w:type="spellStart"/>
      <w:r w:rsidRPr="0087005D">
        <w:rPr>
          <w:rFonts w:ascii="Calibri" w:eastAsia="Calibri" w:hAnsi="Calibri"/>
          <w:sz w:val="24"/>
          <w:szCs w:val="24"/>
          <w:lang w:val="en-US"/>
        </w:rPr>
        <w:t>osnove</w:t>
      </w:r>
      <w:proofErr w:type="spellEnd"/>
      <w:r w:rsidRPr="005341FE">
        <w:rPr>
          <w:rFonts w:ascii="Calibri" w:eastAsia="Calibri" w:hAnsi="Calibri"/>
          <w:sz w:val="24"/>
          <w:szCs w:val="24"/>
          <w:lang w:val="en-US"/>
        </w:rPr>
        <w:t xml:space="preserve"> </w:t>
      </w:r>
    </w:p>
    <w:p w14:paraId="117E250D" w14:textId="43234F5A" w:rsidR="002D44C5" w:rsidRPr="00E55C76" w:rsidRDefault="002D44C5" w:rsidP="00DA6B42">
      <w:pPr>
        <w:numPr>
          <w:ilvl w:val="0"/>
          <w:numId w:val="21"/>
        </w:numPr>
        <w:spacing w:before="274" w:beforeAutospacing="1" w:after="274" w:afterAutospacing="1" w:line="240" w:lineRule="auto"/>
        <w:jc w:val="both"/>
        <w:rPr>
          <w:rFonts w:cstheme="minorHAnsi"/>
          <w:sz w:val="24"/>
          <w:szCs w:val="24"/>
        </w:rPr>
      </w:pPr>
      <w:r w:rsidRPr="00E55C76">
        <w:rPr>
          <w:rFonts w:cstheme="minorHAnsi"/>
          <w:sz w:val="24"/>
          <w:szCs w:val="24"/>
        </w:rPr>
        <w:t>Zakon o znanstvenoj djelatnosti i visokom obrazovanju (NN br. 123/2003, 198/2003, 105/2004, 174/2004, 2/2007, 46/2007, 45/2009, 45/2009, 63/2011, 94/2013, 139/2013, 101/2014, 60/2015, 131/2017</w:t>
      </w:r>
      <w:r w:rsidR="0087005D">
        <w:rPr>
          <w:rFonts w:cstheme="minorHAnsi"/>
          <w:sz w:val="24"/>
          <w:szCs w:val="24"/>
        </w:rPr>
        <w:t xml:space="preserve">, </w:t>
      </w:r>
      <w:r w:rsidR="0087005D" w:rsidRPr="007E6B4A">
        <w:rPr>
          <w:rFonts w:cstheme="minorHAnsi"/>
          <w:sz w:val="24"/>
          <w:szCs w:val="24"/>
        </w:rPr>
        <w:t>96/2018, 119/2022</w:t>
      </w:r>
      <w:r w:rsidR="0087005D">
        <w:rPr>
          <w:rFonts w:cstheme="minorHAnsi"/>
          <w:sz w:val="24"/>
          <w:szCs w:val="24"/>
        </w:rPr>
        <w:t xml:space="preserve"> </w:t>
      </w:r>
      <w:r w:rsidRPr="00E55C76">
        <w:rPr>
          <w:rFonts w:cstheme="minorHAnsi"/>
          <w:sz w:val="24"/>
          <w:szCs w:val="24"/>
        </w:rPr>
        <w:t xml:space="preserve">) </w:t>
      </w:r>
    </w:p>
    <w:p w14:paraId="418E1454" w14:textId="6F3A4336" w:rsidR="002D44C5" w:rsidRPr="00E55C76" w:rsidRDefault="002D44C5" w:rsidP="00DA6B42">
      <w:pPr>
        <w:numPr>
          <w:ilvl w:val="0"/>
          <w:numId w:val="21"/>
        </w:numPr>
        <w:suppressAutoHyphens/>
        <w:autoSpaceDN w:val="0"/>
        <w:spacing w:line="254" w:lineRule="auto"/>
        <w:contextualSpacing/>
        <w:jc w:val="both"/>
        <w:rPr>
          <w:rFonts w:eastAsia="Calibri" w:cstheme="minorHAnsi"/>
          <w:sz w:val="24"/>
          <w:szCs w:val="24"/>
          <w:lang w:val="en-US"/>
        </w:rPr>
      </w:pPr>
      <w:proofErr w:type="spellStart"/>
      <w:r w:rsidRPr="00E55C76">
        <w:rPr>
          <w:rFonts w:eastAsia="Calibri" w:cstheme="minorHAnsi"/>
          <w:sz w:val="24"/>
          <w:szCs w:val="24"/>
          <w:lang w:val="en-US"/>
        </w:rPr>
        <w:t>Kolektivni</w:t>
      </w:r>
      <w:proofErr w:type="spellEnd"/>
      <w:r w:rsidRPr="00E55C76">
        <w:rPr>
          <w:rFonts w:eastAsia="Calibri" w:cstheme="minorHAnsi"/>
          <w:sz w:val="24"/>
          <w:szCs w:val="24"/>
          <w:lang w:val="en-US"/>
        </w:rPr>
        <w:t xml:space="preserve"> </w:t>
      </w:r>
      <w:proofErr w:type="spellStart"/>
      <w:r w:rsidRPr="00E55C76">
        <w:rPr>
          <w:rFonts w:eastAsia="Calibri" w:cstheme="minorHAnsi"/>
          <w:sz w:val="24"/>
          <w:szCs w:val="24"/>
          <w:lang w:val="en-US"/>
        </w:rPr>
        <w:t>ugovor</w:t>
      </w:r>
      <w:proofErr w:type="spellEnd"/>
      <w:r w:rsidRPr="00E55C76">
        <w:rPr>
          <w:rFonts w:eastAsia="Calibri" w:cstheme="minorHAnsi"/>
          <w:sz w:val="24"/>
          <w:szCs w:val="24"/>
          <w:lang w:val="en-US"/>
        </w:rPr>
        <w:t xml:space="preserve"> za </w:t>
      </w:r>
      <w:proofErr w:type="spellStart"/>
      <w:r w:rsidRPr="00E55C76">
        <w:rPr>
          <w:rFonts w:eastAsia="Calibri" w:cstheme="minorHAnsi"/>
          <w:sz w:val="24"/>
          <w:szCs w:val="24"/>
          <w:lang w:val="en-US"/>
        </w:rPr>
        <w:t>znanost</w:t>
      </w:r>
      <w:proofErr w:type="spellEnd"/>
      <w:r w:rsidRPr="00E55C76">
        <w:rPr>
          <w:rFonts w:eastAsia="Calibri" w:cstheme="minorHAnsi"/>
          <w:sz w:val="24"/>
          <w:szCs w:val="24"/>
          <w:lang w:val="en-US"/>
        </w:rPr>
        <w:t xml:space="preserve"> </w:t>
      </w:r>
      <w:proofErr w:type="spellStart"/>
      <w:r w:rsidRPr="00E55C76">
        <w:rPr>
          <w:rFonts w:eastAsia="Calibri" w:cstheme="minorHAnsi"/>
          <w:sz w:val="24"/>
          <w:szCs w:val="24"/>
          <w:lang w:val="en-US"/>
        </w:rPr>
        <w:t>i</w:t>
      </w:r>
      <w:proofErr w:type="spellEnd"/>
      <w:r w:rsidRPr="00E55C76">
        <w:rPr>
          <w:rFonts w:eastAsia="Calibri" w:cstheme="minorHAnsi"/>
          <w:sz w:val="24"/>
          <w:szCs w:val="24"/>
          <w:lang w:val="en-US"/>
        </w:rPr>
        <w:t xml:space="preserve"> </w:t>
      </w:r>
      <w:proofErr w:type="spellStart"/>
      <w:r w:rsidRPr="00E55C76">
        <w:rPr>
          <w:rFonts w:eastAsia="Calibri" w:cstheme="minorHAnsi"/>
          <w:sz w:val="24"/>
          <w:szCs w:val="24"/>
          <w:lang w:val="en-US"/>
        </w:rPr>
        <w:t>visoko</w:t>
      </w:r>
      <w:proofErr w:type="spellEnd"/>
      <w:r w:rsidRPr="00E55C76">
        <w:rPr>
          <w:rFonts w:eastAsia="Calibri" w:cstheme="minorHAnsi"/>
          <w:sz w:val="24"/>
          <w:szCs w:val="24"/>
          <w:lang w:val="en-US"/>
        </w:rPr>
        <w:t xml:space="preserve"> </w:t>
      </w:r>
      <w:proofErr w:type="spellStart"/>
      <w:r w:rsidRPr="00E55C76">
        <w:rPr>
          <w:rFonts w:eastAsia="Calibri" w:cstheme="minorHAnsi"/>
          <w:sz w:val="24"/>
          <w:szCs w:val="24"/>
          <w:lang w:val="en-US"/>
        </w:rPr>
        <w:t>obrazovanje</w:t>
      </w:r>
      <w:proofErr w:type="spellEnd"/>
      <w:r w:rsidRPr="00E55C76">
        <w:rPr>
          <w:rFonts w:eastAsia="Calibri" w:cstheme="minorHAnsi"/>
          <w:sz w:val="24"/>
          <w:szCs w:val="24"/>
          <w:lang w:val="en-US"/>
        </w:rPr>
        <w:t xml:space="preserve"> (9/2019, 9/2019, 52/2020)</w:t>
      </w:r>
    </w:p>
    <w:p w14:paraId="036C572F" w14:textId="1FB7030A" w:rsidR="002D44C5" w:rsidRPr="00E55C76" w:rsidRDefault="002D44C5" w:rsidP="00DA6B42">
      <w:pPr>
        <w:numPr>
          <w:ilvl w:val="0"/>
          <w:numId w:val="21"/>
        </w:numPr>
        <w:suppressAutoHyphens/>
        <w:autoSpaceDN w:val="0"/>
        <w:spacing w:line="254" w:lineRule="auto"/>
        <w:contextualSpacing/>
        <w:jc w:val="both"/>
        <w:rPr>
          <w:rFonts w:eastAsia="Calibri" w:cstheme="minorHAnsi"/>
          <w:sz w:val="24"/>
          <w:szCs w:val="24"/>
          <w:lang w:val="en-US"/>
        </w:rPr>
      </w:pPr>
      <w:proofErr w:type="spellStart"/>
      <w:r w:rsidRPr="00E55C76">
        <w:rPr>
          <w:rFonts w:eastAsia="Calibri" w:cstheme="minorHAnsi"/>
          <w:sz w:val="24"/>
          <w:szCs w:val="24"/>
          <w:lang w:val="en-US"/>
        </w:rPr>
        <w:t>Strategija</w:t>
      </w:r>
      <w:proofErr w:type="spellEnd"/>
      <w:r w:rsidRPr="00E55C76">
        <w:rPr>
          <w:rFonts w:eastAsia="Calibri" w:cstheme="minorHAnsi"/>
          <w:sz w:val="24"/>
          <w:szCs w:val="24"/>
          <w:lang w:val="en-US"/>
        </w:rPr>
        <w:t xml:space="preserve"> </w:t>
      </w:r>
      <w:proofErr w:type="spellStart"/>
      <w:r w:rsidRPr="00E55C76">
        <w:rPr>
          <w:rFonts w:eastAsia="Calibri" w:cstheme="minorHAnsi"/>
          <w:sz w:val="24"/>
          <w:szCs w:val="24"/>
          <w:lang w:val="en-US"/>
        </w:rPr>
        <w:t>znanosti</w:t>
      </w:r>
      <w:proofErr w:type="spellEnd"/>
      <w:r w:rsidRPr="00E55C76">
        <w:rPr>
          <w:rFonts w:eastAsia="Calibri" w:cstheme="minorHAnsi"/>
          <w:sz w:val="24"/>
          <w:szCs w:val="24"/>
          <w:lang w:val="en-US"/>
        </w:rPr>
        <w:t xml:space="preserve">, </w:t>
      </w:r>
      <w:proofErr w:type="spellStart"/>
      <w:r w:rsidRPr="00E55C76">
        <w:rPr>
          <w:rFonts w:eastAsia="Calibri" w:cstheme="minorHAnsi"/>
          <w:sz w:val="24"/>
          <w:szCs w:val="24"/>
          <w:lang w:val="en-US"/>
        </w:rPr>
        <w:t>obrazovanja</w:t>
      </w:r>
      <w:proofErr w:type="spellEnd"/>
      <w:r w:rsidRPr="00E55C76">
        <w:rPr>
          <w:rFonts w:eastAsia="Calibri" w:cstheme="minorHAnsi"/>
          <w:sz w:val="24"/>
          <w:szCs w:val="24"/>
          <w:lang w:val="en-US"/>
        </w:rPr>
        <w:t xml:space="preserve"> </w:t>
      </w:r>
      <w:proofErr w:type="spellStart"/>
      <w:r w:rsidRPr="00E55C76">
        <w:rPr>
          <w:rFonts w:eastAsia="Calibri" w:cstheme="minorHAnsi"/>
          <w:sz w:val="24"/>
          <w:szCs w:val="24"/>
          <w:lang w:val="en-US"/>
        </w:rPr>
        <w:t>i</w:t>
      </w:r>
      <w:proofErr w:type="spellEnd"/>
      <w:r w:rsidRPr="00E55C76">
        <w:rPr>
          <w:rFonts w:eastAsia="Calibri" w:cstheme="minorHAnsi"/>
          <w:sz w:val="24"/>
          <w:szCs w:val="24"/>
          <w:lang w:val="en-US"/>
        </w:rPr>
        <w:t xml:space="preserve"> </w:t>
      </w:r>
      <w:proofErr w:type="spellStart"/>
      <w:r w:rsidRPr="00E55C76">
        <w:rPr>
          <w:rFonts w:eastAsia="Calibri" w:cstheme="minorHAnsi"/>
          <w:sz w:val="24"/>
          <w:szCs w:val="24"/>
          <w:lang w:val="en-US"/>
        </w:rPr>
        <w:t>tehnologije</w:t>
      </w:r>
      <w:proofErr w:type="spellEnd"/>
      <w:r w:rsidRPr="00E55C76">
        <w:rPr>
          <w:rFonts w:eastAsia="Calibri" w:cstheme="minorHAnsi"/>
          <w:sz w:val="24"/>
          <w:szCs w:val="24"/>
          <w:lang w:val="en-US"/>
        </w:rPr>
        <w:t xml:space="preserve"> </w:t>
      </w:r>
    </w:p>
    <w:p w14:paraId="2E7BABF2" w14:textId="77777777" w:rsidR="00560ED1" w:rsidRPr="005341FE" w:rsidRDefault="00560ED1" w:rsidP="00560ED1">
      <w:pPr>
        <w:suppressAutoHyphens/>
        <w:autoSpaceDN w:val="0"/>
        <w:spacing w:line="254" w:lineRule="auto"/>
        <w:ind w:left="720"/>
        <w:contextualSpacing/>
        <w:rPr>
          <w:rFonts w:ascii="Calibri" w:eastAsia="Calibri" w:hAnsi="Calibri"/>
          <w:sz w:val="24"/>
          <w:szCs w:val="24"/>
          <w:lang w:val="en-US"/>
        </w:rPr>
      </w:pPr>
    </w:p>
    <w:tbl>
      <w:tblPr>
        <w:tblW w:w="9688" w:type="dxa"/>
        <w:jc w:val="center"/>
        <w:tblCellMar>
          <w:left w:w="10" w:type="dxa"/>
          <w:right w:w="10" w:type="dxa"/>
        </w:tblCellMar>
        <w:tblLook w:val="04A0" w:firstRow="1" w:lastRow="0" w:firstColumn="1" w:lastColumn="0" w:noHBand="0" w:noVBand="1"/>
      </w:tblPr>
      <w:tblGrid>
        <w:gridCol w:w="2624"/>
        <w:gridCol w:w="2354"/>
        <w:gridCol w:w="2354"/>
        <w:gridCol w:w="2356"/>
      </w:tblGrid>
      <w:tr w:rsidR="00560ED1" w:rsidRPr="005341FE" w14:paraId="2AEE7E27" w14:textId="77777777" w:rsidTr="00FF5A8D">
        <w:trPr>
          <w:trHeight w:val="274"/>
          <w:jc w:val="center"/>
        </w:trPr>
        <w:tc>
          <w:tcPr>
            <w:tcW w:w="2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02AD8" w14:textId="77777777" w:rsidR="00560ED1" w:rsidRPr="005341FE" w:rsidRDefault="00560ED1" w:rsidP="00FF5A8D">
            <w:pPr>
              <w:suppressAutoHyphens/>
              <w:autoSpaceDN w:val="0"/>
              <w:rPr>
                <w:rFonts w:ascii="Calibri" w:eastAsia="Calibri" w:hAnsi="Calibri"/>
                <w:sz w:val="24"/>
                <w:szCs w:val="24"/>
                <w:lang w:val="en-US"/>
              </w:rP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888B2" w14:textId="0C3A322B" w:rsidR="00560ED1" w:rsidRPr="005341FE" w:rsidRDefault="00560ED1" w:rsidP="00FF5A8D">
            <w:pPr>
              <w:suppressAutoHyphens/>
              <w:autoSpaceDN w:val="0"/>
              <w:rPr>
                <w:rFonts w:ascii="Calibri" w:eastAsia="Calibri" w:hAnsi="Calibri"/>
                <w:sz w:val="24"/>
                <w:szCs w:val="24"/>
                <w:lang w:val="en-US"/>
              </w:rPr>
            </w:pPr>
            <w:r w:rsidRPr="005341FE">
              <w:rPr>
                <w:rFonts w:ascii="Calibri" w:eastAsia="Calibri" w:hAnsi="Calibri"/>
                <w:sz w:val="24"/>
                <w:szCs w:val="24"/>
                <w:lang w:val="en-US"/>
              </w:rPr>
              <w:t>Plan 202</w:t>
            </w:r>
            <w:r w:rsidR="00A72335">
              <w:rPr>
                <w:rFonts w:ascii="Calibri" w:eastAsia="Calibri" w:hAnsi="Calibri"/>
                <w:sz w:val="24"/>
                <w:szCs w:val="24"/>
                <w:lang w:val="en-US"/>
              </w:rPr>
              <w:t>4</w:t>
            </w:r>
            <w:r w:rsidRPr="005341FE">
              <w:rPr>
                <w:rFonts w:ascii="Calibri" w:eastAsia="Calibri" w:hAnsi="Calibri"/>
                <w:sz w:val="24"/>
                <w:szCs w:val="24"/>
                <w:lang w:val="en-US"/>
              </w:rPr>
              <w:t>.</w:t>
            </w:r>
          </w:p>
        </w:tc>
        <w:tc>
          <w:tcPr>
            <w:tcW w:w="2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0E18A" w14:textId="27B97CC6" w:rsidR="00560ED1" w:rsidRPr="005341FE" w:rsidRDefault="00560ED1" w:rsidP="00FF5A8D">
            <w:pPr>
              <w:suppressAutoHyphens/>
              <w:autoSpaceDN w:val="0"/>
              <w:rPr>
                <w:rFonts w:ascii="Calibri" w:eastAsia="Calibri" w:hAnsi="Calibri"/>
                <w:sz w:val="24"/>
                <w:szCs w:val="24"/>
                <w:lang w:val="en-US"/>
              </w:rPr>
            </w:pPr>
            <w:r w:rsidRPr="005341FE">
              <w:rPr>
                <w:rFonts w:ascii="Calibri" w:eastAsia="Calibri" w:hAnsi="Calibri"/>
                <w:sz w:val="24"/>
                <w:szCs w:val="24"/>
                <w:lang w:val="en-US"/>
              </w:rPr>
              <w:t>Plan 202</w:t>
            </w:r>
            <w:r w:rsidR="00A72335">
              <w:rPr>
                <w:rFonts w:ascii="Calibri" w:eastAsia="Calibri" w:hAnsi="Calibri"/>
                <w:sz w:val="24"/>
                <w:szCs w:val="24"/>
                <w:lang w:val="en-US"/>
              </w:rPr>
              <w:t>5</w:t>
            </w:r>
            <w:r w:rsidRPr="005341FE">
              <w:rPr>
                <w:rFonts w:ascii="Calibri" w:eastAsia="Calibri" w:hAnsi="Calibri"/>
                <w:sz w:val="24"/>
                <w:szCs w:val="24"/>
                <w:lang w:val="en-US"/>
              </w:rPr>
              <w:t>.</w:t>
            </w:r>
          </w:p>
        </w:tc>
        <w:tc>
          <w:tcPr>
            <w:tcW w:w="2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952E8" w14:textId="69DD3A09" w:rsidR="00560ED1" w:rsidRPr="005341FE" w:rsidRDefault="00560ED1" w:rsidP="00FF5A8D">
            <w:pPr>
              <w:suppressAutoHyphens/>
              <w:autoSpaceDN w:val="0"/>
              <w:rPr>
                <w:rFonts w:ascii="Calibri" w:eastAsia="Calibri" w:hAnsi="Calibri"/>
                <w:sz w:val="24"/>
                <w:szCs w:val="24"/>
                <w:lang w:val="en-US"/>
              </w:rPr>
            </w:pPr>
            <w:r w:rsidRPr="005341FE">
              <w:rPr>
                <w:rFonts w:ascii="Calibri" w:eastAsia="Calibri" w:hAnsi="Calibri"/>
                <w:sz w:val="24"/>
                <w:szCs w:val="24"/>
                <w:lang w:val="en-US"/>
              </w:rPr>
              <w:t>Plan 202</w:t>
            </w:r>
            <w:r w:rsidR="00A72335">
              <w:rPr>
                <w:rFonts w:ascii="Calibri" w:eastAsia="Calibri" w:hAnsi="Calibri"/>
                <w:sz w:val="24"/>
                <w:szCs w:val="24"/>
                <w:lang w:val="en-US"/>
              </w:rPr>
              <w:t>6</w:t>
            </w:r>
            <w:r w:rsidRPr="005341FE">
              <w:rPr>
                <w:rFonts w:ascii="Calibri" w:eastAsia="Calibri" w:hAnsi="Calibri"/>
                <w:sz w:val="24"/>
                <w:szCs w:val="24"/>
                <w:lang w:val="en-US"/>
              </w:rPr>
              <w:t>.</w:t>
            </w:r>
          </w:p>
        </w:tc>
      </w:tr>
      <w:tr w:rsidR="00560ED1" w:rsidRPr="005341FE" w14:paraId="1433C457" w14:textId="77777777" w:rsidTr="00FF5A8D">
        <w:trPr>
          <w:trHeight w:val="1450"/>
          <w:jc w:val="center"/>
        </w:trPr>
        <w:tc>
          <w:tcPr>
            <w:tcW w:w="2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A58EA" w14:textId="77777777" w:rsidR="00560ED1" w:rsidRPr="005341FE" w:rsidRDefault="00560ED1" w:rsidP="00FF5A8D">
            <w:pPr>
              <w:suppressAutoHyphens/>
              <w:autoSpaceDN w:val="0"/>
              <w:rPr>
                <w:rFonts w:ascii="Calibri" w:eastAsia="Calibri" w:hAnsi="Calibri"/>
                <w:sz w:val="24"/>
                <w:szCs w:val="24"/>
                <w:lang w:val="en-US"/>
              </w:rPr>
            </w:pPr>
            <w:r w:rsidRPr="005341FE">
              <w:rPr>
                <w:rFonts w:ascii="Calibri" w:eastAsia="Calibri" w:hAnsi="Calibri"/>
                <w:sz w:val="24"/>
                <w:szCs w:val="24"/>
                <w:lang w:val="en-US"/>
              </w:rPr>
              <w:t>A679088</w:t>
            </w:r>
          </w:p>
          <w:p w14:paraId="7CE1CC11" w14:textId="77777777" w:rsidR="00560ED1" w:rsidRPr="005341FE" w:rsidRDefault="00560ED1" w:rsidP="00FF5A8D">
            <w:pPr>
              <w:suppressAutoHyphens/>
              <w:autoSpaceDN w:val="0"/>
              <w:rPr>
                <w:rFonts w:ascii="Calibri" w:eastAsia="Calibri" w:hAnsi="Calibri"/>
                <w:sz w:val="24"/>
                <w:szCs w:val="24"/>
                <w:lang w:val="en-US"/>
              </w:rPr>
            </w:pPr>
            <w:proofErr w:type="spellStart"/>
            <w:r w:rsidRPr="005341FE">
              <w:rPr>
                <w:rFonts w:ascii="Calibri" w:eastAsia="Calibri" w:hAnsi="Calibri"/>
                <w:sz w:val="24"/>
                <w:szCs w:val="24"/>
                <w:lang w:val="en-US"/>
              </w:rPr>
              <w:t>Redovna</w:t>
            </w:r>
            <w:proofErr w:type="spellEnd"/>
            <w:r w:rsidRPr="005341FE">
              <w:rPr>
                <w:rFonts w:ascii="Calibri" w:eastAsia="Calibri" w:hAnsi="Calibri"/>
                <w:sz w:val="24"/>
                <w:szCs w:val="24"/>
                <w:lang w:val="en-US"/>
              </w:rPr>
              <w:t xml:space="preserve"> </w:t>
            </w:r>
            <w:proofErr w:type="spellStart"/>
            <w:r w:rsidRPr="005341FE">
              <w:rPr>
                <w:rFonts w:ascii="Calibri" w:eastAsia="Calibri" w:hAnsi="Calibri"/>
                <w:sz w:val="24"/>
                <w:szCs w:val="24"/>
                <w:lang w:val="en-US"/>
              </w:rPr>
              <w:t>djelatnost</w:t>
            </w:r>
            <w:proofErr w:type="spellEnd"/>
            <w:r w:rsidRPr="005341FE">
              <w:rPr>
                <w:rFonts w:ascii="Calibri" w:eastAsia="Calibri" w:hAnsi="Calibri"/>
                <w:sz w:val="24"/>
                <w:szCs w:val="24"/>
                <w:lang w:val="en-US"/>
              </w:rPr>
              <w:t xml:space="preserve"> </w:t>
            </w:r>
            <w:proofErr w:type="spellStart"/>
            <w:r w:rsidRPr="005341FE">
              <w:rPr>
                <w:rFonts w:ascii="Calibri" w:eastAsia="Calibri" w:hAnsi="Calibri"/>
                <w:sz w:val="24"/>
                <w:szCs w:val="24"/>
                <w:lang w:val="en-US"/>
              </w:rPr>
              <w:t>Sveučilišta</w:t>
            </w:r>
            <w:proofErr w:type="spellEnd"/>
            <w:r w:rsidRPr="005341FE">
              <w:rPr>
                <w:rFonts w:ascii="Calibri" w:eastAsia="Calibri" w:hAnsi="Calibri"/>
                <w:sz w:val="24"/>
                <w:szCs w:val="24"/>
                <w:lang w:val="en-US"/>
              </w:rPr>
              <w:t xml:space="preserve"> u </w:t>
            </w:r>
            <w:proofErr w:type="spellStart"/>
            <w:r w:rsidRPr="005341FE">
              <w:rPr>
                <w:rFonts w:ascii="Calibri" w:eastAsia="Calibri" w:hAnsi="Calibri"/>
                <w:sz w:val="24"/>
                <w:szCs w:val="24"/>
                <w:lang w:val="en-US"/>
              </w:rPr>
              <w:t>Zagrebu</w:t>
            </w:r>
            <w:proofErr w:type="spellEnd"/>
            <w:r>
              <w:rPr>
                <w:rFonts w:ascii="Calibri" w:eastAsia="Calibri" w:hAnsi="Calibri"/>
                <w:sz w:val="24"/>
                <w:szCs w:val="24"/>
                <w:lang w:val="en-US"/>
              </w:rPr>
              <w:t xml:space="preserve"> </w:t>
            </w:r>
            <w:r w:rsidRPr="005341FE">
              <w:rPr>
                <w:rFonts w:ascii="Calibri" w:eastAsia="Calibri" w:hAnsi="Calibri"/>
                <w:sz w:val="24"/>
                <w:szCs w:val="24"/>
                <w:lang w:val="en-US"/>
              </w:rPr>
              <w:t>(</w:t>
            </w:r>
            <w:proofErr w:type="spellStart"/>
            <w:r w:rsidRPr="005341FE">
              <w:rPr>
                <w:rFonts w:ascii="Calibri" w:eastAsia="Calibri" w:hAnsi="Calibri"/>
                <w:sz w:val="24"/>
                <w:szCs w:val="24"/>
                <w:lang w:val="en-US"/>
              </w:rPr>
              <w:t>iz</w:t>
            </w:r>
            <w:proofErr w:type="spellEnd"/>
            <w:r w:rsidRPr="005341FE">
              <w:rPr>
                <w:rFonts w:ascii="Calibri" w:eastAsia="Calibri" w:hAnsi="Calibri"/>
                <w:sz w:val="24"/>
                <w:szCs w:val="24"/>
                <w:lang w:val="en-US"/>
              </w:rPr>
              <w:t xml:space="preserve"> </w:t>
            </w:r>
            <w:proofErr w:type="spellStart"/>
            <w:r w:rsidRPr="005341FE">
              <w:rPr>
                <w:rFonts w:ascii="Calibri" w:eastAsia="Calibri" w:hAnsi="Calibri"/>
                <w:sz w:val="24"/>
                <w:szCs w:val="24"/>
                <w:lang w:val="en-US"/>
              </w:rPr>
              <w:t>evidencijskih</w:t>
            </w:r>
            <w:proofErr w:type="spellEnd"/>
            <w:r w:rsidRPr="005341FE">
              <w:rPr>
                <w:rFonts w:ascii="Calibri" w:eastAsia="Calibri" w:hAnsi="Calibri"/>
                <w:sz w:val="24"/>
                <w:szCs w:val="24"/>
                <w:lang w:val="en-US"/>
              </w:rPr>
              <w:t xml:space="preserve"> </w:t>
            </w:r>
            <w:proofErr w:type="spellStart"/>
            <w:r>
              <w:rPr>
                <w:rFonts w:ascii="Calibri" w:eastAsia="Calibri" w:hAnsi="Calibri"/>
                <w:sz w:val="24"/>
                <w:szCs w:val="24"/>
                <w:lang w:val="en-US"/>
              </w:rPr>
              <w:t>p</w:t>
            </w:r>
            <w:r w:rsidRPr="005341FE">
              <w:rPr>
                <w:rFonts w:ascii="Calibri" w:eastAsia="Calibri" w:hAnsi="Calibri"/>
                <w:sz w:val="24"/>
                <w:szCs w:val="24"/>
                <w:lang w:val="en-US"/>
              </w:rPr>
              <w:t>rihoda</w:t>
            </w:r>
            <w:proofErr w:type="spellEnd"/>
            <w:r w:rsidRPr="005341FE">
              <w:rPr>
                <w:rFonts w:ascii="Calibri" w:eastAsia="Calibri" w:hAnsi="Calibri"/>
                <w:sz w:val="24"/>
                <w:szCs w:val="24"/>
                <w:lang w:val="en-US"/>
              </w:rPr>
              <w:t>)</w:t>
            </w:r>
          </w:p>
        </w:tc>
        <w:tc>
          <w:tcPr>
            <w:tcW w:w="2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5E97D1" w14:textId="54C88144" w:rsidR="00560ED1" w:rsidRPr="005341FE" w:rsidRDefault="009800D6" w:rsidP="00FF5A8D">
            <w:pPr>
              <w:suppressAutoHyphens/>
              <w:autoSpaceDN w:val="0"/>
              <w:rPr>
                <w:rFonts w:ascii="Calibri" w:eastAsia="Calibri" w:hAnsi="Calibri"/>
                <w:sz w:val="24"/>
                <w:szCs w:val="24"/>
                <w:lang w:val="en-US"/>
              </w:rPr>
            </w:pPr>
            <w:r>
              <w:rPr>
                <w:rFonts w:ascii="Calibri" w:eastAsia="Calibri" w:hAnsi="Calibri"/>
                <w:sz w:val="24"/>
                <w:szCs w:val="24"/>
                <w:lang w:val="en-US"/>
              </w:rPr>
              <w:t>5.796.700</w:t>
            </w:r>
            <w:r w:rsidR="00EA1B3E">
              <w:rPr>
                <w:rFonts w:ascii="Calibri" w:eastAsia="Calibri" w:hAnsi="Calibri"/>
                <w:sz w:val="24"/>
                <w:szCs w:val="24"/>
                <w:lang w:val="en-US"/>
              </w:rPr>
              <w:t xml:space="preserve"> EUR</w:t>
            </w:r>
          </w:p>
        </w:tc>
        <w:tc>
          <w:tcPr>
            <w:tcW w:w="2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31FA4" w14:textId="393DE783" w:rsidR="00560ED1" w:rsidRPr="005341FE" w:rsidRDefault="009800D6" w:rsidP="00FF5A8D">
            <w:pPr>
              <w:suppressAutoHyphens/>
              <w:autoSpaceDN w:val="0"/>
              <w:rPr>
                <w:rFonts w:ascii="Calibri" w:eastAsia="Calibri" w:hAnsi="Calibri"/>
                <w:sz w:val="24"/>
                <w:szCs w:val="24"/>
                <w:lang w:val="en-US"/>
              </w:rPr>
            </w:pPr>
            <w:r>
              <w:rPr>
                <w:rFonts w:ascii="Calibri" w:eastAsia="Calibri" w:hAnsi="Calibri"/>
                <w:sz w:val="24"/>
                <w:szCs w:val="24"/>
                <w:lang w:val="en-US"/>
              </w:rPr>
              <w:t>4.676.700</w:t>
            </w:r>
            <w:r w:rsidR="00EA1B3E">
              <w:rPr>
                <w:rFonts w:ascii="Calibri" w:eastAsia="Calibri" w:hAnsi="Calibri"/>
                <w:sz w:val="24"/>
                <w:szCs w:val="24"/>
                <w:lang w:val="en-US"/>
              </w:rPr>
              <w:t xml:space="preserve"> EUR</w:t>
            </w:r>
          </w:p>
        </w:tc>
        <w:tc>
          <w:tcPr>
            <w:tcW w:w="2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1B403" w14:textId="1652C1D9" w:rsidR="00560ED1" w:rsidRPr="005341FE" w:rsidRDefault="009800D6" w:rsidP="00FF5A8D">
            <w:pPr>
              <w:suppressAutoHyphens/>
              <w:autoSpaceDN w:val="0"/>
              <w:rPr>
                <w:rFonts w:ascii="Calibri" w:eastAsia="Calibri" w:hAnsi="Calibri"/>
                <w:sz w:val="24"/>
                <w:szCs w:val="24"/>
                <w:lang w:val="en-US"/>
              </w:rPr>
            </w:pPr>
            <w:r>
              <w:rPr>
                <w:rFonts w:ascii="Calibri" w:eastAsia="Calibri" w:hAnsi="Calibri"/>
                <w:sz w:val="24"/>
                <w:szCs w:val="24"/>
                <w:lang w:val="en-US"/>
              </w:rPr>
              <w:t>3.776.700</w:t>
            </w:r>
            <w:r w:rsidR="00EA1B3E">
              <w:rPr>
                <w:rFonts w:ascii="Calibri" w:eastAsia="Calibri" w:hAnsi="Calibri"/>
                <w:sz w:val="24"/>
                <w:szCs w:val="24"/>
                <w:lang w:val="en-US"/>
              </w:rPr>
              <w:t xml:space="preserve"> EUR</w:t>
            </w:r>
          </w:p>
        </w:tc>
      </w:tr>
    </w:tbl>
    <w:p w14:paraId="20FFEACA" w14:textId="387ECA60" w:rsidR="00560ED1" w:rsidRDefault="00560ED1" w:rsidP="00DA6B42">
      <w:pPr>
        <w:suppressAutoHyphens/>
        <w:autoSpaceDN w:val="0"/>
        <w:spacing w:line="254" w:lineRule="auto"/>
        <w:jc w:val="both"/>
        <w:rPr>
          <w:rFonts w:ascii="Calibri" w:eastAsia="Calibri" w:hAnsi="Calibri"/>
          <w:sz w:val="24"/>
          <w:szCs w:val="24"/>
          <w:lang w:val="en-US"/>
        </w:rPr>
      </w:pPr>
      <w:r w:rsidRPr="005341FE">
        <w:rPr>
          <w:rFonts w:ascii="Calibri" w:eastAsia="Calibri" w:hAnsi="Calibri"/>
          <w:sz w:val="24"/>
          <w:szCs w:val="24"/>
          <w:lang w:val="en-US"/>
        </w:rPr>
        <w:t xml:space="preserve">Ova </w:t>
      </w:r>
      <w:proofErr w:type="spellStart"/>
      <w:r w:rsidRPr="005341FE">
        <w:rPr>
          <w:rFonts w:ascii="Calibri" w:eastAsia="Calibri" w:hAnsi="Calibri"/>
          <w:sz w:val="24"/>
          <w:szCs w:val="24"/>
          <w:lang w:val="en-US"/>
        </w:rPr>
        <w:t>aktivnost</w:t>
      </w:r>
      <w:proofErr w:type="spellEnd"/>
      <w:r w:rsidRPr="005341FE">
        <w:rPr>
          <w:rFonts w:ascii="Calibri" w:eastAsia="Calibri" w:hAnsi="Calibri"/>
          <w:sz w:val="24"/>
          <w:szCs w:val="24"/>
          <w:lang w:val="en-US"/>
        </w:rPr>
        <w:t xml:space="preserve"> </w:t>
      </w:r>
      <w:proofErr w:type="spellStart"/>
      <w:r w:rsidRPr="005341FE">
        <w:rPr>
          <w:rFonts w:ascii="Calibri" w:eastAsia="Calibri" w:hAnsi="Calibri"/>
          <w:sz w:val="24"/>
          <w:szCs w:val="24"/>
          <w:lang w:val="en-US"/>
        </w:rPr>
        <w:t>provodi</w:t>
      </w:r>
      <w:proofErr w:type="spellEnd"/>
      <w:r w:rsidRPr="005341FE">
        <w:rPr>
          <w:rFonts w:ascii="Calibri" w:eastAsia="Calibri" w:hAnsi="Calibri"/>
          <w:sz w:val="24"/>
          <w:szCs w:val="24"/>
          <w:lang w:val="en-US"/>
        </w:rPr>
        <w:t xml:space="preserve"> se </w:t>
      </w:r>
      <w:proofErr w:type="spellStart"/>
      <w:r w:rsidRPr="005341FE">
        <w:rPr>
          <w:rFonts w:ascii="Calibri" w:eastAsia="Calibri" w:hAnsi="Calibri"/>
          <w:sz w:val="24"/>
          <w:szCs w:val="24"/>
          <w:lang w:val="en-US"/>
        </w:rPr>
        <w:t>svake</w:t>
      </w:r>
      <w:proofErr w:type="spellEnd"/>
      <w:r w:rsidRPr="005341FE">
        <w:rPr>
          <w:rFonts w:ascii="Calibri" w:eastAsia="Calibri" w:hAnsi="Calibri"/>
          <w:sz w:val="24"/>
          <w:szCs w:val="24"/>
          <w:lang w:val="en-US"/>
        </w:rPr>
        <w:t xml:space="preserve"> </w:t>
      </w:r>
      <w:proofErr w:type="spellStart"/>
      <w:r w:rsidRPr="005341FE">
        <w:rPr>
          <w:rFonts w:ascii="Calibri" w:eastAsia="Calibri" w:hAnsi="Calibri"/>
          <w:sz w:val="24"/>
          <w:szCs w:val="24"/>
          <w:lang w:val="en-US"/>
        </w:rPr>
        <w:t>godine</w:t>
      </w:r>
      <w:proofErr w:type="spellEnd"/>
      <w:r>
        <w:rPr>
          <w:rFonts w:ascii="Calibri" w:eastAsia="Calibri" w:hAnsi="Calibri"/>
          <w:sz w:val="24"/>
          <w:szCs w:val="24"/>
          <w:lang w:val="en-US"/>
        </w:rPr>
        <w:t xml:space="preserve"> </w:t>
      </w:r>
      <w:proofErr w:type="spellStart"/>
      <w:r w:rsidR="00CC2200">
        <w:rPr>
          <w:rFonts w:ascii="Calibri" w:eastAsia="Calibri" w:hAnsi="Calibri"/>
          <w:sz w:val="24"/>
          <w:szCs w:val="24"/>
          <w:lang w:val="en-US"/>
        </w:rPr>
        <w:t>i</w:t>
      </w:r>
      <w:proofErr w:type="spellEnd"/>
      <w:r>
        <w:rPr>
          <w:rFonts w:ascii="Calibri" w:eastAsia="Calibri" w:hAnsi="Calibri"/>
          <w:sz w:val="24"/>
          <w:szCs w:val="24"/>
          <w:lang w:val="en-US"/>
        </w:rPr>
        <w:t xml:space="preserve"> </w:t>
      </w:r>
      <w:proofErr w:type="spellStart"/>
      <w:r>
        <w:rPr>
          <w:rFonts w:ascii="Calibri" w:eastAsia="Calibri" w:hAnsi="Calibri"/>
          <w:sz w:val="24"/>
          <w:szCs w:val="24"/>
          <w:lang w:val="en-US"/>
        </w:rPr>
        <w:t>obuhvaća</w:t>
      </w:r>
      <w:proofErr w:type="spellEnd"/>
      <w:r>
        <w:rPr>
          <w:rFonts w:ascii="Calibri" w:eastAsia="Calibri" w:hAnsi="Calibri"/>
          <w:sz w:val="24"/>
          <w:szCs w:val="24"/>
          <w:lang w:val="en-US"/>
        </w:rPr>
        <w:t xml:space="preserve"> </w:t>
      </w:r>
      <w:proofErr w:type="spellStart"/>
      <w:r>
        <w:rPr>
          <w:rFonts w:ascii="Calibri" w:eastAsia="Calibri" w:hAnsi="Calibri"/>
          <w:sz w:val="24"/>
          <w:szCs w:val="24"/>
          <w:lang w:val="en-US"/>
        </w:rPr>
        <w:t>izvore</w:t>
      </w:r>
      <w:proofErr w:type="spellEnd"/>
      <w:r>
        <w:rPr>
          <w:rFonts w:ascii="Calibri" w:eastAsia="Calibri" w:hAnsi="Calibri"/>
          <w:sz w:val="24"/>
          <w:szCs w:val="24"/>
          <w:lang w:val="en-US"/>
        </w:rPr>
        <w:t xml:space="preserve"> </w:t>
      </w:r>
      <w:proofErr w:type="spellStart"/>
      <w:r>
        <w:rPr>
          <w:rFonts w:ascii="Calibri" w:eastAsia="Calibri" w:hAnsi="Calibri"/>
          <w:sz w:val="24"/>
          <w:szCs w:val="24"/>
          <w:lang w:val="en-US"/>
        </w:rPr>
        <w:t>financiranja</w:t>
      </w:r>
      <w:proofErr w:type="spellEnd"/>
      <w:r>
        <w:rPr>
          <w:rFonts w:ascii="Calibri" w:eastAsia="Calibri" w:hAnsi="Calibri"/>
          <w:sz w:val="24"/>
          <w:szCs w:val="24"/>
          <w:lang w:val="en-US"/>
        </w:rPr>
        <w:t xml:space="preserve"> 31, 43, 52</w:t>
      </w:r>
      <w:r w:rsidR="00551B9F">
        <w:rPr>
          <w:rFonts w:ascii="Calibri" w:eastAsia="Calibri" w:hAnsi="Calibri"/>
          <w:sz w:val="24"/>
          <w:szCs w:val="24"/>
          <w:lang w:val="en-US"/>
        </w:rPr>
        <w:t>, 61</w:t>
      </w:r>
      <w:r>
        <w:rPr>
          <w:rFonts w:ascii="Calibri" w:eastAsia="Calibri" w:hAnsi="Calibri"/>
          <w:sz w:val="24"/>
          <w:szCs w:val="24"/>
          <w:lang w:val="en-US"/>
        </w:rPr>
        <w:t xml:space="preserve"> </w:t>
      </w:r>
      <w:proofErr w:type="spellStart"/>
      <w:r>
        <w:rPr>
          <w:rFonts w:ascii="Calibri" w:eastAsia="Calibri" w:hAnsi="Calibri"/>
          <w:sz w:val="24"/>
          <w:szCs w:val="24"/>
          <w:lang w:val="en-US"/>
        </w:rPr>
        <w:t>i</w:t>
      </w:r>
      <w:proofErr w:type="spellEnd"/>
      <w:r>
        <w:rPr>
          <w:rFonts w:ascii="Calibri" w:eastAsia="Calibri" w:hAnsi="Calibri"/>
          <w:sz w:val="24"/>
          <w:szCs w:val="24"/>
          <w:lang w:val="en-US"/>
        </w:rPr>
        <w:t xml:space="preserve"> 71.</w:t>
      </w:r>
    </w:p>
    <w:p w14:paraId="14DF0F2B" w14:textId="5F0BE6B8" w:rsidR="00560ED1" w:rsidRPr="004457D4" w:rsidRDefault="00560ED1" w:rsidP="00DA6B42">
      <w:pPr>
        <w:spacing w:before="274" w:beforeAutospacing="1" w:after="274" w:afterAutospacing="1"/>
        <w:jc w:val="both"/>
        <w:rPr>
          <w:rFonts w:ascii="Verdana" w:hAnsi="Verdana"/>
          <w:sz w:val="21"/>
          <w:szCs w:val="21"/>
        </w:rPr>
      </w:pPr>
      <w:r w:rsidRPr="004457D4">
        <w:rPr>
          <w:rFonts w:ascii="Verdana" w:hAnsi="Verdana"/>
          <w:sz w:val="21"/>
          <w:szCs w:val="21"/>
        </w:rPr>
        <w:t>Namjenski prihodi, konto 6526</w:t>
      </w:r>
      <w:r>
        <w:rPr>
          <w:rFonts w:ascii="Verdana" w:hAnsi="Verdana"/>
          <w:sz w:val="21"/>
          <w:szCs w:val="21"/>
        </w:rPr>
        <w:t xml:space="preserve"> (izvor 43)</w:t>
      </w:r>
      <w:r w:rsidRPr="004457D4">
        <w:rPr>
          <w:rFonts w:ascii="Verdana" w:hAnsi="Verdana"/>
          <w:sz w:val="21"/>
          <w:szCs w:val="21"/>
        </w:rPr>
        <w:t xml:space="preserve"> sastoje se od prihoda </w:t>
      </w:r>
      <w:r w:rsidR="009800D6">
        <w:rPr>
          <w:rFonts w:ascii="Verdana" w:hAnsi="Verdana"/>
          <w:sz w:val="21"/>
          <w:szCs w:val="21"/>
        </w:rPr>
        <w:t>od školarina.</w:t>
      </w:r>
    </w:p>
    <w:p w14:paraId="4F119D4E" w14:textId="11CA973F" w:rsidR="00560ED1" w:rsidRPr="007B1233" w:rsidRDefault="00560ED1" w:rsidP="00DA6B42">
      <w:pPr>
        <w:spacing w:before="274" w:beforeAutospacing="1" w:after="274" w:afterAutospacing="1"/>
        <w:jc w:val="both"/>
        <w:rPr>
          <w:rFonts w:ascii="Verdana" w:hAnsi="Verdana"/>
          <w:color w:val="333333"/>
          <w:sz w:val="21"/>
          <w:szCs w:val="21"/>
        </w:rPr>
      </w:pPr>
      <w:r w:rsidRPr="007B1233">
        <w:rPr>
          <w:rFonts w:ascii="Verdana" w:hAnsi="Verdana"/>
          <w:color w:val="333333"/>
          <w:sz w:val="21"/>
          <w:szCs w:val="21"/>
        </w:rPr>
        <w:lastRenderedPageBreak/>
        <w:t>Vlastiti prihodi konto 6615</w:t>
      </w:r>
      <w:r w:rsidR="00551B9F">
        <w:rPr>
          <w:rFonts w:ascii="Verdana" w:hAnsi="Verdana"/>
          <w:color w:val="333333"/>
          <w:sz w:val="21"/>
          <w:szCs w:val="21"/>
        </w:rPr>
        <w:t xml:space="preserve"> (izvor 31)</w:t>
      </w:r>
      <w:r w:rsidRPr="007B1233">
        <w:rPr>
          <w:rFonts w:ascii="Verdana" w:hAnsi="Verdana"/>
          <w:color w:val="333333"/>
          <w:sz w:val="21"/>
          <w:szCs w:val="21"/>
        </w:rPr>
        <w:t xml:space="preserve"> sastoji se od prihoda  iz: </w:t>
      </w:r>
    </w:p>
    <w:p w14:paraId="71CC9652" w14:textId="77777777" w:rsidR="00560ED1" w:rsidRPr="00C840A3" w:rsidRDefault="00560ED1" w:rsidP="00DA6B42">
      <w:pPr>
        <w:numPr>
          <w:ilvl w:val="0"/>
          <w:numId w:val="15"/>
        </w:numPr>
        <w:spacing w:before="274" w:beforeAutospacing="1" w:after="274" w:afterAutospacing="1"/>
        <w:jc w:val="both"/>
        <w:rPr>
          <w:rFonts w:ascii="Verdana" w:hAnsi="Verdana"/>
          <w:color w:val="333333"/>
          <w:sz w:val="21"/>
          <w:szCs w:val="21"/>
        </w:rPr>
      </w:pPr>
      <w:r w:rsidRPr="00F7627B">
        <w:rPr>
          <w:rFonts w:ascii="Verdana" w:hAnsi="Verdana"/>
          <w:color w:val="333333"/>
          <w:sz w:val="21"/>
          <w:szCs w:val="21"/>
        </w:rPr>
        <w:t>prihodi od provođenj</w:t>
      </w:r>
      <w:r>
        <w:rPr>
          <w:rFonts w:ascii="Verdana" w:hAnsi="Verdana"/>
          <w:color w:val="333333"/>
          <w:sz w:val="21"/>
          <w:szCs w:val="21"/>
        </w:rPr>
        <w:t>a stručnih projekata (razne analize, mjerenja, kontrole i sl...)</w:t>
      </w:r>
    </w:p>
    <w:p w14:paraId="50AFB196" w14:textId="77777777" w:rsidR="00560ED1" w:rsidRPr="00F7627B" w:rsidRDefault="00560ED1" w:rsidP="00DA6B42">
      <w:pPr>
        <w:numPr>
          <w:ilvl w:val="0"/>
          <w:numId w:val="15"/>
        </w:numPr>
        <w:spacing w:before="274" w:beforeAutospacing="1" w:after="274" w:afterAutospacing="1"/>
        <w:jc w:val="both"/>
        <w:rPr>
          <w:rFonts w:ascii="Verdana" w:hAnsi="Verdana"/>
          <w:color w:val="333333"/>
          <w:sz w:val="21"/>
          <w:szCs w:val="21"/>
        </w:rPr>
      </w:pPr>
      <w:r w:rsidRPr="00F7627B">
        <w:rPr>
          <w:rFonts w:ascii="Verdana" w:hAnsi="Verdana"/>
          <w:color w:val="333333"/>
          <w:sz w:val="21"/>
          <w:szCs w:val="21"/>
        </w:rPr>
        <w:t>prihodi od znanstvenih projekta izvan državnog, županijskog i gradskog proračuna</w:t>
      </w:r>
      <w:r>
        <w:rPr>
          <w:rFonts w:ascii="Verdana" w:hAnsi="Verdana"/>
          <w:color w:val="333333"/>
          <w:sz w:val="21"/>
          <w:szCs w:val="21"/>
        </w:rPr>
        <w:t>, razne organizacije znanstvenih i stručnih skupova</w:t>
      </w:r>
    </w:p>
    <w:p w14:paraId="7F3CB39C" w14:textId="77777777" w:rsidR="00560ED1" w:rsidRPr="00F7627B" w:rsidRDefault="00560ED1" w:rsidP="00DA6B42">
      <w:pPr>
        <w:numPr>
          <w:ilvl w:val="0"/>
          <w:numId w:val="15"/>
        </w:numPr>
        <w:spacing w:before="274" w:beforeAutospacing="1" w:after="274" w:afterAutospacing="1"/>
        <w:jc w:val="both"/>
        <w:rPr>
          <w:rFonts w:ascii="Verdana" w:hAnsi="Verdana"/>
          <w:color w:val="333333"/>
          <w:sz w:val="21"/>
          <w:szCs w:val="21"/>
        </w:rPr>
      </w:pPr>
      <w:r w:rsidRPr="00F7627B">
        <w:rPr>
          <w:rFonts w:ascii="Verdana" w:hAnsi="Verdana"/>
          <w:color w:val="333333"/>
          <w:sz w:val="21"/>
          <w:szCs w:val="21"/>
        </w:rPr>
        <w:t xml:space="preserve">prihoda od iznajmljivanja prostora te ostali prihodi </w:t>
      </w:r>
    </w:p>
    <w:p w14:paraId="694293AF" w14:textId="049B3E94" w:rsidR="00420BDC" w:rsidRDefault="00560ED1" w:rsidP="00DA6B42">
      <w:pPr>
        <w:spacing w:before="274" w:beforeAutospacing="1" w:after="274" w:afterAutospacing="1"/>
        <w:jc w:val="both"/>
        <w:rPr>
          <w:rFonts w:ascii="Verdana" w:hAnsi="Verdana"/>
          <w:color w:val="333333"/>
          <w:sz w:val="21"/>
          <w:szCs w:val="21"/>
        </w:rPr>
      </w:pPr>
      <w:r w:rsidRPr="00F7627B">
        <w:rPr>
          <w:rFonts w:ascii="Verdana" w:hAnsi="Verdana"/>
          <w:color w:val="333333"/>
          <w:sz w:val="21"/>
          <w:szCs w:val="21"/>
        </w:rPr>
        <w:t>Donacije, konto  6631</w:t>
      </w:r>
      <w:r w:rsidR="00551B9F">
        <w:rPr>
          <w:rFonts w:ascii="Verdana" w:hAnsi="Verdana"/>
          <w:color w:val="333333"/>
          <w:sz w:val="21"/>
          <w:szCs w:val="21"/>
        </w:rPr>
        <w:t xml:space="preserve"> (izvor 61)</w:t>
      </w:r>
      <w:r w:rsidRPr="00F7627B">
        <w:rPr>
          <w:rFonts w:ascii="Verdana" w:hAnsi="Verdana"/>
          <w:color w:val="333333"/>
          <w:sz w:val="21"/>
          <w:szCs w:val="21"/>
        </w:rPr>
        <w:t xml:space="preserve"> sastoje se od prihoda za nabavku kemikalija , opreme i slično za potrebe unapređenja nastave i znanosti.</w:t>
      </w:r>
    </w:p>
    <w:p w14:paraId="2212E716" w14:textId="77777777" w:rsidR="00560ED1" w:rsidRPr="007B1233" w:rsidRDefault="00560ED1" w:rsidP="00DA6B42">
      <w:pPr>
        <w:spacing w:before="274" w:beforeAutospacing="1" w:after="274" w:afterAutospacing="1"/>
        <w:jc w:val="both"/>
        <w:rPr>
          <w:rFonts w:cstheme="minorHAnsi"/>
          <w:b/>
          <w:bCs/>
          <w:color w:val="333333"/>
          <w:sz w:val="21"/>
          <w:szCs w:val="21"/>
        </w:rPr>
      </w:pPr>
      <w:r w:rsidRPr="007B1233">
        <w:rPr>
          <w:rFonts w:cstheme="minorHAnsi"/>
          <w:b/>
          <w:bCs/>
          <w:color w:val="333333"/>
          <w:sz w:val="21"/>
          <w:szCs w:val="21"/>
        </w:rPr>
        <w:t>Održavanje Botaničkog vrta</w:t>
      </w:r>
    </w:p>
    <w:p w14:paraId="4A37FB7A" w14:textId="77777777" w:rsidR="00560ED1" w:rsidRDefault="00560ED1" w:rsidP="00DA6B42">
      <w:pPr>
        <w:spacing w:before="274" w:beforeAutospacing="1" w:after="274" w:afterAutospacing="1"/>
        <w:jc w:val="both"/>
        <w:rPr>
          <w:rFonts w:ascii="Verdana" w:hAnsi="Verdana"/>
          <w:color w:val="333333"/>
          <w:sz w:val="21"/>
          <w:szCs w:val="21"/>
        </w:rPr>
      </w:pPr>
      <w:r>
        <w:rPr>
          <w:rFonts w:ascii="Verdana" w:hAnsi="Verdana"/>
          <w:color w:val="333333"/>
          <w:sz w:val="21"/>
          <w:szCs w:val="21"/>
        </w:rPr>
        <w:t xml:space="preserve">Pod ovu aktivnost spada i financiranje Botaničkog vrta PMF-a (izvor 52, konto 6361) koji se financira na temelju Ugovora o realizaciji Programa održavanja javnih prometnih površina, građevina i uređaja javne namjene od strane Grada Zagreba. </w:t>
      </w:r>
    </w:p>
    <w:tbl>
      <w:tblPr>
        <w:tblW w:w="10075" w:type="dxa"/>
        <w:tblCellMar>
          <w:left w:w="10" w:type="dxa"/>
          <w:right w:w="10" w:type="dxa"/>
        </w:tblCellMar>
        <w:tblLook w:val="04A0" w:firstRow="1" w:lastRow="0" w:firstColumn="1" w:lastColumn="0" w:noHBand="0" w:noVBand="1"/>
      </w:tblPr>
      <w:tblGrid>
        <w:gridCol w:w="4355"/>
        <w:gridCol w:w="2284"/>
        <w:gridCol w:w="1718"/>
        <w:gridCol w:w="1718"/>
      </w:tblGrid>
      <w:tr w:rsidR="00560ED1" w:rsidRPr="00DA4B8D" w14:paraId="75C3155E" w14:textId="77777777" w:rsidTr="00FF5A8D">
        <w:trPr>
          <w:trHeight w:val="396"/>
        </w:trPr>
        <w:tc>
          <w:tcPr>
            <w:tcW w:w="43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751E8" w14:textId="77777777" w:rsidR="00560ED1" w:rsidRPr="00DA4B8D" w:rsidRDefault="00560ED1" w:rsidP="00DA6B42">
            <w:pPr>
              <w:suppressAutoHyphens/>
              <w:autoSpaceDN w:val="0"/>
              <w:contextualSpacing/>
              <w:jc w:val="both"/>
              <w:rPr>
                <w:rFonts w:ascii="Calibri" w:eastAsia="Calibri" w:hAnsi="Calibri"/>
                <w:sz w:val="24"/>
                <w:szCs w:val="24"/>
                <w:lang w:val="en-US"/>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E2245" w14:textId="77777777" w:rsidR="00560ED1" w:rsidRPr="00DA4B8D" w:rsidRDefault="00560ED1" w:rsidP="00DA6B42">
            <w:pPr>
              <w:suppressAutoHyphens/>
              <w:autoSpaceDN w:val="0"/>
              <w:contextualSpacing/>
              <w:jc w:val="both"/>
              <w:rPr>
                <w:rFonts w:ascii="Calibri" w:eastAsia="Calibri" w:hAnsi="Calibri"/>
                <w:sz w:val="24"/>
                <w:szCs w:val="24"/>
                <w:lang w:val="en-US"/>
              </w:rPr>
            </w:pPr>
            <w:r w:rsidRPr="00DA4B8D">
              <w:rPr>
                <w:rFonts w:ascii="Calibri" w:eastAsia="Calibri" w:hAnsi="Calibri"/>
                <w:sz w:val="24"/>
                <w:szCs w:val="24"/>
                <w:lang w:val="en-US"/>
              </w:rPr>
              <w:t>Plan</w:t>
            </w:r>
          </w:p>
          <w:p w14:paraId="4605ADF9" w14:textId="49CCCC1B" w:rsidR="00560ED1" w:rsidRPr="00DA4B8D" w:rsidRDefault="00560ED1" w:rsidP="00DA6B42">
            <w:pPr>
              <w:suppressAutoHyphens/>
              <w:autoSpaceDN w:val="0"/>
              <w:contextualSpacing/>
              <w:jc w:val="both"/>
              <w:rPr>
                <w:rFonts w:ascii="Calibri" w:eastAsia="Calibri" w:hAnsi="Calibri"/>
                <w:sz w:val="24"/>
                <w:szCs w:val="24"/>
                <w:lang w:val="en-US"/>
              </w:rPr>
            </w:pPr>
            <w:r w:rsidRPr="00DA4B8D">
              <w:rPr>
                <w:rFonts w:ascii="Calibri" w:eastAsia="Calibri" w:hAnsi="Calibri"/>
                <w:sz w:val="24"/>
                <w:szCs w:val="24"/>
                <w:lang w:val="en-US"/>
              </w:rPr>
              <w:t>202</w:t>
            </w:r>
            <w:r w:rsidR="009800D6">
              <w:rPr>
                <w:rFonts w:ascii="Calibri" w:eastAsia="Calibri" w:hAnsi="Calibri"/>
                <w:sz w:val="24"/>
                <w:szCs w:val="24"/>
                <w:lang w:val="en-US"/>
              </w:rPr>
              <w:t>4</w:t>
            </w:r>
            <w:r w:rsidRPr="00DA4B8D">
              <w:rPr>
                <w:rFonts w:ascii="Calibri" w:eastAsia="Calibri" w:hAnsi="Calibri"/>
                <w:sz w:val="24"/>
                <w:szCs w:val="24"/>
                <w:lang w:val="en-US"/>
              </w:rPr>
              <w:t>.</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FFB80" w14:textId="77777777" w:rsidR="00560ED1" w:rsidRPr="00DA4B8D" w:rsidRDefault="00560ED1" w:rsidP="00DA6B42">
            <w:pPr>
              <w:suppressAutoHyphens/>
              <w:autoSpaceDN w:val="0"/>
              <w:contextualSpacing/>
              <w:jc w:val="both"/>
              <w:rPr>
                <w:rFonts w:ascii="Calibri" w:eastAsia="Calibri" w:hAnsi="Calibri"/>
                <w:sz w:val="24"/>
                <w:szCs w:val="24"/>
                <w:lang w:val="en-US"/>
              </w:rPr>
            </w:pPr>
            <w:r w:rsidRPr="00DA4B8D">
              <w:rPr>
                <w:rFonts w:ascii="Calibri" w:eastAsia="Calibri" w:hAnsi="Calibri"/>
                <w:sz w:val="24"/>
                <w:szCs w:val="24"/>
                <w:lang w:val="en-US"/>
              </w:rPr>
              <w:t>Plan</w:t>
            </w:r>
          </w:p>
          <w:p w14:paraId="2B9059BC" w14:textId="4B5E6716" w:rsidR="00560ED1" w:rsidRPr="00DA4B8D" w:rsidRDefault="00560ED1" w:rsidP="00DA6B42">
            <w:pPr>
              <w:suppressAutoHyphens/>
              <w:autoSpaceDN w:val="0"/>
              <w:contextualSpacing/>
              <w:jc w:val="both"/>
              <w:rPr>
                <w:rFonts w:ascii="Calibri" w:eastAsia="Calibri" w:hAnsi="Calibri"/>
                <w:sz w:val="24"/>
                <w:szCs w:val="24"/>
                <w:lang w:val="en-US"/>
              </w:rPr>
            </w:pPr>
            <w:r w:rsidRPr="00DA4B8D">
              <w:rPr>
                <w:rFonts w:ascii="Calibri" w:eastAsia="Calibri" w:hAnsi="Calibri"/>
                <w:sz w:val="24"/>
                <w:szCs w:val="24"/>
                <w:lang w:val="en-US"/>
              </w:rPr>
              <w:t>202</w:t>
            </w:r>
            <w:r w:rsidR="009800D6">
              <w:rPr>
                <w:rFonts w:ascii="Calibri" w:eastAsia="Calibri" w:hAnsi="Calibri"/>
                <w:sz w:val="24"/>
                <w:szCs w:val="24"/>
                <w:lang w:val="en-US"/>
              </w:rPr>
              <w:t>5</w:t>
            </w:r>
            <w:r w:rsidRPr="00DA4B8D">
              <w:rPr>
                <w:rFonts w:ascii="Calibri" w:eastAsia="Calibri" w:hAnsi="Calibri"/>
                <w:sz w:val="24"/>
                <w:szCs w:val="24"/>
                <w:lang w:val="en-US"/>
              </w:rPr>
              <w:t>.</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F3AEA" w14:textId="77777777" w:rsidR="00560ED1" w:rsidRPr="00DA4B8D" w:rsidRDefault="00560ED1" w:rsidP="00DA6B42">
            <w:pPr>
              <w:suppressAutoHyphens/>
              <w:autoSpaceDN w:val="0"/>
              <w:contextualSpacing/>
              <w:jc w:val="both"/>
              <w:rPr>
                <w:rFonts w:ascii="Calibri" w:eastAsia="Calibri" w:hAnsi="Calibri"/>
                <w:sz w:val="24"/>
                <w:szCs w:val="24"/>
                <w:lang w:val="en-US"/>
              </w:rPr>
            </w:pPr>
            <w:r w:rsidRPr="00DA4B8D">
              <w:rPr>
                <w:rFonts w:ascii="Calibri" w:eastAsia="Calibri" w:hAnsi="Calibri"/>
                <w:sz w:val="24"/>
                <w:szCs w:val="24"/>
                <w:lang w:val="en-US"/>
              </w:rPr>
              <w:t>Plan</w:t>
            </w:r>
          </w:p>
          <w:p w14:paraId="381416FF" w14:textId="10331037" w:rsidR="00560ED1" w:rsidRPr="00DA4B8D" w:rsidRDefault="00560ED1" w:rsidP="00DA6B42">
            <w:pPr>
              <w:suppressAutoHyphens/>
              <w:autoSpaceDN w:val="0"/>
              <w:contextualSpacing/>
              <w:jc w:val="both"/>
              <w:rPr>
                <w:rFonts w:ascii="Calibri" w:eastAsia="Calibri" w:hAnsi="Calibri"/>
                <w:sz w:val="24"/>
                <w:szCs w:val="24"/>
                <w:lang w:val="en-US"/>
              </w:rPr>
            </w:pPr>
            <w:r w:rsidRPr="00DA4B8D">
              <w:rPr>
                <w:rFonts w:ascii="Calibri" w:eastAsia="Calibri" w:hAnsi="Calibri"/>
                <w:sz w:val="24"/>
                <w:szCs w:val="24"/>
                <w:lang w:val="en-US"/>
              </w:rPr>
              <w:t>202</w:t>
            </w:r>
            <w:r w:rsidR="009800D6">
              <w:rPr>
                <w:rFonts w:ascii="Calibri" w:eastAsia="Calibri" w:hAnsi="Calibri"/>
                <w:sz w:val="24"/>
                <w:szCs w:val="24"/>
                <w:lang w:val="en-US"/>
              </w:rPr>
              <w:t>6</w:t>
            </w:r>
            <w:r w:rsidRPr="00DA4B8D">
              <w:rPr>
                <w:rFonts w:ascii="Calibri" w:eastAsia="Calibri" w:hAnsi="Calibri"/>
                <w:sz w:val="24"/>
                <w:szCs w:val="24"/>
                <w:lang w:val="en-US"/>
              </w:rPr>
              <w:t>.</w:t>
            </w:r>
          </w:p>
        </w:tc>
      </w:tr>
      <w:tr w:rsidR="00560ED1" w:rsidRPr="00DA4B8D" w14:paraId="2DBB4F1C" w14:textId="77777777" w:rsidTr="00FF5A8D">
        <w:trPr>
          <w:trHeight w:val="1583"/>
        </w:trPr>
        <w:tc>
          <w:tcPr>
            <w:tcW w:w="43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7A418" w14:textId="77777777" w:rsidR="00560ED1" w:rsidRPr="00DA4B8D" w:rsidRDefault="00560ED1" w:rsidP="00DA6B42">
            <w:pPr>
              <w:suppressAutoHyphens/>
              <w:autoSpaceDN w:val="0"/>
              <w:contextualSpacing/>
              <w:jc w:val="both"/>
              <w:rPr>
                <w:rFonts w:ascii="Calibri" w:eastAsia="Calibri" w:hAnsi="Calibri"/>
                <w:sz w:val="24"/>
                <w:szCs w:val="24"/>
                <w:lang w:val="en-US"/>
              </w:rPr>
            </w:pPr>
          </w:p>
          <w:p w14:paraId="1DFF0AC2" w14:textId="77777777" w:rsidR="00560ED1" w:rsidRPr="00DA4B8D" w:rsidRDefault="00560ED1" w:rsidP="00DA6B42">
            <w:pPr>
              <w:suppressAutoHyphens/>
              <w:autoSpaceDN w:val="0"/>
              <w:contextualSpacing/>
              <w:jc w:val="both"/>
              <w:rPr>
                <w:rFonts w:ascii="Calibri" w:eastAsia="Calibri" w:hAnsi="Calibri"/>
                <w:sz w:val="24"/>
                <w:szCs w:val="24"/>
                <w:lang w:val="en-US"/>
              </w:rPr>
            </w:pPr>
            <w:proofErr w:type="spellStart"/>
            <w:r w:rsidRPr="00DA4B8D">
              <w:rPr>
                <w:rFonts w:ascii="Calibri" w:eastAsia="Calibri" w:hAnsi="Calibri"/>
                <w:sz w:val="24"/>
                <w:szCs w:val="24"/>
                <w:lang w:val="en-US"/>
              </w:rPr>
              <w:t>Tekuće</w:t>
            </w:r>
            <w:proofErr w:type="spellEnd"/>
            <w:r w:rsidRPr="00DA4B8D">
              <w:rPr>
                <w:rFonts w:ascii="Calibri" w:eastAsia="Calibri" w:hAnsi="Calibri"/>
                <w:sz w:val="24"/>
                <w:szCs w:val="24"/>
                <w:lang w:val="en-US"/>
              </w:rPr>
              <w:t xml:space="preserve"> </w:t>
            </w:r>
            <w:proofErr w:type="spellStart"/>
            <w:r w:rsidRPr="00DA4B8D">
              <w:rPr>
                <w:rFonts w:ascii="Calibri" w:eastAsia="Calibri" w:hAnsi="Calibri"/>
                <w:sz w:val="24"/>
                <w:szCs w:val="24"/>
                <w:lang w:val="en-US"/>
              </w:rPr>
              <w:t>održavanje</w:t>
            </w:r>
            <w:proofErr w:type="spellEnd"/>
            <w:r w:rsidRPr="00DA4B8D">
              <w:rPr>
                <w:rFonts w:ascii="Calibri" w:eastAsia="Calibri" w:hAnsi="Calibri"/>
                <w:sz w:val="24"/>
                <w:szCs w:val="24"/>
                <w:lang w:val="en-US"/>
              </w:rPr>
              <w:t xml:space="preserve"> </w:t>
            </w:r>
            <w:proofErr w:type="spellStart"/>
            <w:r w:rsidRPr="00DA4B8D">
              <w:rPr>
                <w:rFonts w:ascii="Calibri" w:eastAsia="Calibri" w:hAnsi="Calibri"/>
                <w:sz w:val="24"/>
                <w:szCs w:val="24"/>
                <w:lang w:val="en-US"/>
              </w:rPr>
              <w:t>opreme</w:t>
            </w:r>
            <w:proofErr w:type="spellEnd"/>
            <w:r w:rsidRPr="00DA4B8D">
              <w:rPr>
                <w:rFonts w:ascii="Calibri" w:eastAsia="Calibri" w:hAnsi="Calibri"/>
                <w:sz w:val="24"/>
                <w:szCs w:val="24"/>
                <w:lang w:val="en-US"/>
              </w:rPr>
              <w:t xml:space="preserve"> u </w:t>
            </w:r>
            <w:proofErr w:type="spellStart"/>
            <w:proofErr w:type="gramStart"/>
            <w:r w:rsidRPr="00DA4B8D">
              <w:rPr>
                <w:rFonts w:ascii="Calibri" w:eastAsia="Calibri" w:hAnsi="Calibri"/>
                <w:sz w:val="24"/>
                <w:szCs w:val="24"/>
                <w:lang w:val="en-US"/>
              </w:rPr>
              <w:t>arboretumu,organizacija</w:t>
            </w:r>
            <w:proofErr w:type="spellEnd"/>
            <w:proofErr w:type="gramEnd"/>
            <w:r w:rsidRPr="00DA4B8D">
              <w:rPr>
                <w:rFonts w:ascii="Calibri" w:eastAsia="Calibri" w:hAnsi="Calibri"/>
                <w:sz w:val="24"/>
                <w:szCs w:val="24"/>
                <w:lang w:val="en-US"/>
              </w:rPr>
              <w:t xml:space="preserve"> </w:t>
            </w:r>
            <w:proofErr w:type="spellStart"/>
            <w:r w:rsidRPr="00DA4B8D">
              <w:rPr>
                <w:rFonts w:ascii="Calibri" w:eastAsia="Calibri" w:hAnsi="Calibri"/>
                <w:sz w:val="24"/>
                <w:szCs w:val="24"/>
                <w:lang w:val="en-US"/>
              </w:rPr>
              <w:t>izložbi,nabava</w:t>
            </w:r>
            <w:proofErr w:type="spellEnd"/>
            <w:r w:rsidRPr="00DA4B8D">
              <w:rPr>
                <w:rFonts w:ascii="Calibri" w:eastAsia="Calibri" w:hAnsi="Calibri"/>
                <w:sz w:val="24"/>
                <w:szCs w:val="24"/>
                <w:lang w:val="en-US"/>
              </w:rPr>
              <w:t xml:space="preserve"> </w:t>
            </w:r>
            <w:proofErr w:type="spellStart"/>
            <w:r w:rsidRPr="00DA4B8D">
              <w:rPr>
                <w:rFonts w:ascii="Calibri" w:eastAsia="Calibri" w:hAnsi="Calibri"/>
                <w:sz w:val="24"/>
                <w:szCs w:val="24"/>
                <w:lang w:val="en-US"/>
              </w:rPr>
              <w:t>materijala</w:t>
            </w:r>
            <w:proofErr w:type="spellEnd"/>
            <w:r w:rsidRPr="00DA4B8D">
              <w:rPr>
                <w:rFonts w:ascii="Calibri" w:eastAsia="Calibri" w:hAnsi="Calibri"/>
                <w:sz w:val="24"/>
                <w:szCs w:val="24"/>
                <w:lang w:val="en-US"/>
              </w:rPr>
              <w:t xml:space="preserve"> </w:t>
            </w:r>
            <w:proofErr w:type="spellStart"/>
            <w:r w:rsidRPr="00DA4B8D">
              <w:rPr>
                <w:rFonts w:ascii="Calibri" w:eastAsia="Calibri" w:hAnsi="Calibri"/>
                <w:sz w:val="24"/>
                <w:szCs w:val="24"/>
                <w:lang w:val="en-US"/>
              </w:rPr>
              <w:t>i</w:t>
            </w:r>
            <w:proofErr w:type="spellEnd"/>
            <w:r w:rsidRPr="00DA4B8D">
              <w:rPr>
                <w:rFonts w:ascii="Calibri" w:eastAsia="Calibri" w:hAnsi="Calibri"/>
                <w:sz w:val="24"/>
                <w:szCs w:val="24"/>
                <w:lang w:val="en-US"/>
              </w:rPr>
              <w:t xml:space="preserve"> </w:t>
            </w:r>
            <w:proofErr w:type="spellStart"/>
            <w:r w:rsidRPr="00DA4B8D">
              <w:rPr>
                <w:rFonts w:ascii="Calibri" w:eastAsia="Calibri" w:hAnsi="Calibri"/>
                <w:sz w:val="24"/>
                <w:szCs w:val="24"/>
                <w:lang w:val="en-US"/>
              </w:rPr>
              <w:t>ostalog</w:t>
            </w:r>
            <w:proofErr w:type="spellEnd"/>
            <w:r w:rsidRPr="00DA4B8D">
              <w:rPr>
                <w:rFonts w:ascii="Calibri" w:eastAsia="Calibri" w:hAnsi="Calibri"/>
                <w:sz w:val="24"/>
                <w:szCs w:val="24"/>
                <w:lang w:val="en-US"/>
              </w:rPr>
              <w:t xml:space="preserve"> </w:t>
            </w:r>
            <w:proofErr w:type="spellStart"/>
            <w:r w:rsidRPr="00DA4B8D">
              <w:rPr>
                <w:rFonts w:ascii="Calibri" w:eastAsia="Calibri" w:hAnsi="Calibri"/>
                <w:sz w:val="24"/>
                <w:szCs w:val="24"/>
                <w:lang w:val="en-US"/>
              </w:rPr>
              <w:t>potrebnog</w:t>
            </w:r>
            <w:proofErr w:type="spellEnd"/>
            <w:r w:rsidRPr="00DA4B8D">
              <w:rPr>
                <w:rFonts w:ascii="Calibri" w:eastAsia="Calibri" w:hAnsi="Calibri"/>
                <w:sz w:val="24"/>
                <w:szCs w:val="24"/>
                <w:lang w:val="en-US"/>
              </w:rPr>
              <w:t xml:space="preserve"> za </w:t>
            </w:r>
            <w:proofErr w:type="spellStart"/>
            <w:r w:rsidRPr="00DA4B8D">
              <w:rPr>
                <w:rFonts w:ascii="Calibri" w:eastAsia="Calibri" w:hAnsi="Calibri"/>
                <w:sz w:val="24"/>
                <w:szCs w:val="24"/>
                <w:lang w:val="en-US"/>
              </w:rPr>
              <w:t>uzgoj</w:t>
            </w:r>
            <w:proofErr w:type="spellEnd"/>
            <w:r w:rsidRPr="00DA4B8D">
              <w:rPr>
                <w:rFonts w:ascii="Calibri" w:eastAsia="Calibri" w:hAnsi="Calibri"/>
                <w:sz w:val="24"/>
                <w:szCs w:val="24"/>
                <w:lang w:val="en-US"/>
              </w:rPr>
              <w:t xml:space="preserve"> </w:t>
            </w:r>
            <w:proofErr w:type="spellStart"/>
            <w:r w:rsidRPr="00DA4B8D">
              <w:rPr>
                <w:rFonts w:ascii="Calibri" w:eastAsia="Calibri" w:hAnsi="Calibri"/>
                <w:sz w:val="24"/>
                <w:szCs w:val="24"/>
                <w:lang w:val="en-US"/>
              </w:rPr>
              <w:t>biljaka</w:t>
            </w:r>
            <w:proofErr w:type="spellEnd"/>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C6661" w14:textId="384A7456" w:rsidR="00560ED1" w:rsidRPr="00DA4B8D" w:rsidRDefault="009800D6" w:rsidP="00DA6B42">
            <w:pPr>
              <w:suppressAutoHyphens/>
              <w:autoSpaceDN w:val="0"/>
              <w:contextualSpacing/>
              <w:jc w:val="both"/>
              <w:rPr>
                <w:rFonts w:ascii="Arial" w:eastAsia="Calibri" w:hAnsi="Arial" w:cs="Arial"/>
                <w:lang w:val="en-US"/>
              </w:rPr>
            </w:pPr>
            <w:r>
              <w:rPr>
                <w:rFonts w:ascii="Arial" w:eastAsia="Calibri" w:hAnsi="Arial" w:cs="Arial"/>
                <w:lang w:val="en-US"/>
              </w:rPr>
              <w:t>199.000</w:t>
            </w:r>
            <w:r w:rsidR="00815DAF">
              <w:rPr>
                <w:rFonts w:ascii="Arial" w:eastAsia="Calibri" w:hAnsi="Arial" w:cs="Arial"/>
                <w:lang w:val="en-US"/>
              </w:rPr>
              <w:t xml:space="preserve"> EUR</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07006" w14:textId="58352A55" w:rsidR="00560ED1" w:rsidRPr="00DA4B8D" w:rsidRDefault="009800D6" w:rsidP="00DA6B42">
            <w:pPr>
              <w:suppressAutoHyphens/>
              <w:autoSpaceDN w:val="0"/>
              <w:contextualSpacing/>
              <w:jc w:val="both"/>
              <w:rPr>
                <w:rFonts w:ascii="Arial" w:eastAsia="Calibri" w:hAnsi="Arial" w:cs="Arial"/>
                <w:lang w:val="en-US"/>
              </w:rPr>
            </w:pPr>
            <w:r>
              <w:rPr>
                <w:rFonts w:ascii="Arial" w:eastAsia="Calibri" w:hAnsi="Arial" w:cs="Arial"/>
                <w:lang w:val="en-US"/>
              </w:rPr>
              <w:t>199.000</w:t>
            </w:r>
            <w:r w:rsidR="00815DAF">
              <w:rPr>
                <w:rFonts w:ascii="Arial" w:eastAsia="Calibri" w:hAnsi="Arial" w:cs="Arial"/>
                <w:lang w:val="en-US"/>
              </w:rPr>
              <w:t xml:space="preserve"> EUR</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69FBF" w14:textId="079DA2A7" w:rsidR="00560ED1" w:rsidRPr="00DA4B8D" w:rsidRDefault="009800D6" w:rsidP="00DA6B42">
            <w:pPr>
              <w:suppressAutoHyphens/>
              <w:autoSpaceDN w:val="0"/>
              <w:contextualSpacing/>
              <w:jc w:val="both"/>
              <w:rPr>
                <w:rFonts w:ascii="Arial" w:eastAsia="Calibri" w:hAnsi="Arial" w:cs="Arial"/>
                <w:lang w:val="en-US"/>
              </w:rPr>
            </w:pPr>
            <w:r>
              <w:rPr>
                <w:rFonts w:ascii="Arial" w:eastAsia="Calibri" w:hAnsi="Arial" w:cs="Arial"/>
                <w:lang w:val="en-US"/>
              </w:rPr>
              <w:t>199.000</w:t>
            </w:r>
            <w:r w:rsidR="00815DAF">
              <w:rPr>
                <w:rFonts w:ascii="Arial" w:eastAsia="Calibri" w:hAnsi="Arial" w:cs="Arial"/>
                <w:lang w:val="en-US"/>
              </w:rPr>
              <w:t xml:space="preserve"> EUR</w:t>
            </w:r>
          </w:p>
        </w:tc>
      </w:tr>
    </w:tbl>
    <w:p w14:paraId="753396D7" w14:textId="77777777" w:rsidR="002C3BF5" w:rsidRDefault="002C3BF5" w:rsidP="00DA6B42">
      <w:pPr>
        <w:spacing w:before="274" w:beforeAutospacing="1" w:after="274" w:afterAutospacing="1"/>
        <w:jc w:val="both"/>
        <w:rPr>
          <w:rFonts w:ascii="Verdana" w:hAnsi="Verdana"/>
          <w:color w:val="333333"/>
          <w:sz w:val="21"/>
          <w:szCs w:val="21"/>
        </w:rPr>
      </w:pPr>
    </w:p>
    <w:p w14:paraId="0F3955BC" w14:textId="254744C5" w:rsidR="00155AF1" w:rsidRDefault="00551B9F" w:rsidP="00DA6B42">
      <w:pPr>
        <w:spacing w:before="274" w:beforeAutospacing="1" w:after="274" w:afterAutospacing="1"/>
        <w:jc w:val="both"/>
        <w:rPr>
          <w:rFonts w:ascii="Verdana" w:hAnsi="Verdana"/>
          <w:color w:val="333333"/>
          <w:sz w:val="21"/>
          <w:szCs w:val="21"/>
        </w:rPr>
      </w:pPr>
      <w:r>
        <w:rPr>
          <w:rFonts w:ascii="Verdana" w:hAnsi="Verdana"/>
          <w:color w:val="333333"/>
          <w:sz w:val="21"/>
          <w:szCs w:val="21"/>
        </w:rPr>
        <w:t xml:space="preserve">Na izvoru 52 od 1.1.2022. iskazuju se i </w:t>
      </w:r>
      <w:r w:rsidR="001A6B4D">
        <w:rPr>
          <w:rFonts w:ascii="Verdana" w:hAnsi="Verdana"/>
          <w:color w:val="333333"/>
          <w:sz w:val="21"/>
          <w:szCs w:val="21"/>
        </w:rPr>
        <w:t>prihodi od Hrvatske Zaklade za znanost nam</w:t>
      </w:r>
      <w:r w:rsidR="009800D6">
        <w:rPr>
          <w:rFonts w:ascii="Verdana" w:hAnsi="Verdana"/>
          <w:color w:val="333333"/>
          <w:sz w:val="21"/>
          <w:szCs w:val="21"/>
        </w:rPr>
        <w:t>i</w:t>
      </w:r>
      <w:r w:rsidR="001A6B4D">
        <w:rPr>
          <w:rFonts w:ascii="Verdana" w:hAnsi="Verdana"/>
          <w:color w:val="333333"/>
          <w:sz w:val="21"/>
          <w:szCs w:val="21"/>
        </w:rPr>
        <w:t>jenjeni provedbi znanstv</w:t>
      </w:r>
      <w:r w:rsidR="009800D6">
        <w:rPr>
          <w:rFonts w:ascii="Verdana" w:hAnsi="Verdana"/>
          <w:color w:val="333333"/>
          <w:sz w:val="21"/>
          <w:szCs w:val="21"/>
        </w:rPr>
        <w:t>en</w:t>
      </w:r>
      <w:r w:rsidR="001A6B4D">
        <w:rPr>
          <w:rFonts w:ascii="Verdana" w:hAnsi="Verdana"/>
          <w:color w:val="333333"/>
          <w:sz w:val="21"/>
          <w:szCs w:val="21"/>
        </w:rPr>
        <w:t>ih projekata.</w:t>
      </w:r>
    </w:p>
    <w:p w14:paraId="6D8B05FF" w14:textId="24A5D866" w:rsidR="00155AF1" w:rsidRDefault="00155AF1" w:rsidP="00DA6B42">
      <w:pPr>
        <w:spacing w:before="274" w:beforeAutospacing="1" w:after="274" w:afterAutospacing="1"/>
        <w:jc w:val="both"/>
        <w:rPr>
          <w:rFonts w:ascii="Verdana" w:hAnsi="Verdana"/>
          <w:color w:val="333333"/>
          <w:sz w:val="21"/>
          <w:szCs w:val="21"/>
        </w:rPr>
      </w:pPr>
      <w:r>
        <w:rPr>
          <w:rFonts w:ascii="Verdana" w:hAnsi="Verdana"/>
          <w:color w:val="333333"/>
          <w:sz w:val="21"/>
          <w:szCs w:val="21"/>
        </w:rPr>
        <w:t>Planirana sredstva su iskazana za sve tri godine</w:t>
      </w:r>
      <w:r w:rsidR="00F32C01">
        <w:rPr>
          <w:rFonts w:ascii="Verdana" w:hAnsi="Verdana"/>
          <w:color w:val="333333"/>
          <w:sz w:val="21"/>
          <w:szCs w:val="21"/>
        </w:rPr>
        <w:t xml:space="preserve"> po aktivnocstima HRZZ-a</w:t>
      </w:r>
    </w:p>
    <w:tbl>
      <w:tblPr>
        <w:tblW w:w="10075" w:type="dxa"/>
        <w:tblCellMar>
          <w:left w:w="10" w:type="dxa"/>
          <w:right w:w="10" w:type="dxa"/>
        </w:tblCellMar>
        <w:tblLook w:val="04A0" w:firstRow="1" w:lastRow="0" w:firstColumn="1" w:lastColumn="0" w:noHBand="0" w:noVBand="1"/>
      </w:tblPr>
      <w:tblGrid>
        <w:gridCol w:w="4355"/>
        <w:gridCol w:w="2284"/>
        <w:gridCol w:w="1718"/>
        <w:gridCol w:w="1718"/>
      </w:tblGrid>
      <w:tr w:rsidR="00155AF1" w:rsidRPr="00DA4B8D" w14:paraId="2C62283D" w14:textId="77777777" w:rsidTr="00C84E31">
        <w:trPr>
          <w:trHeight w:val="396"/>
        </w:trPr>
        <w:tc>
          <w:tcPr>
            <w:tcW w:w="43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1F530" w14:textId="77777777" w:rsidR="00155AF1" w:rsidRPr="00DA4B8D" w:rsidRDefault="00155AF1" w:rsidP="00C84E31">
            <w:pPr>
              <w:suppressAutoHyphens/>
              <w:autoSpaceDN w:val="0"/>
              <w:contextualSpacing/>
              <w:rPr>
                <w:rFonts w:ascii="Calibri" w:eastAsia="Calibri" w:hAnsi="Calibri"/>
                <w:sz w:val="24"/>
                <w:szCs w:val="24"/>
                <w:lang w:val="en-US"/>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7D520" w14:textId="77777777" w:rsidR="00155AF1" w:rsidRPr="00DA4B8D" w:rsidRDefault="00155AF1" w:rsidP="00C84E31">
            <w:pPr>
              <w:suppressAutoHyphens/>
              <w:autoSpaceDN w:val="0"/>
              <w:contextualSpacing/>
              <w:rPr>
                <w:rFonts w:ascii="Calibri" w:eastAsia="Calibri" w:hAnsi="Calibri"/>
                <w:sz w:val="24"/>
                <w:szCs w:val="24"/>
                <w:lang w:val="en-US"/>
              </w:rPr>
            </w:pPr>
            <w:r w:rsidRPr="00DA4B8D">
              <w:rPr>
                <w:rFonts w:ascii="Calibri" w:eastAsia="Calibri" w:hAnsi="Calibri"/>
                <w:sz w:val="24"/>
                <w:szCs w:val="24"/>
                <w:lang w:val="en-US"/>
              </w:rPr>
              <w:t>Plan</w:t>
            </w:r>
          </w:p>
          <w:p w14:paraId="3A1830A6" w14:textId="783B0D06" w:rsidR="00155AF1" w:rsidRPr="00DA4B8D" w:rsidRDefault="00155AF1" w:rsidP="00C84E31">
            <w:pPr>
              <w:suppressAutoHyphens/>
              <w:autoSpaceDN w:val="0"/>
              <w:contextualSpacing/>
              <w:rPr>
                <w:rFonts w:ascii="Calibri" w:eastAsia="Calibri" w:hAnsi="Calibri"/>
                <w:sz w:val="24"/>
                <w:szCs w:val="24"/>
                <w:lang w:val="en-US"/>
              </w:rPr>
            </w:pPr>
            <w:r w:rsidRPr="00DA4B8D">
              <w:rPr>
                <w:rFonts w:ascii="Calibri" w:eastAsia="Calibri" w:hAnsi="Calibri"/>
                <w:sz w:val="24"/>
                <w:szCs w:val="24"/>
                <w:lang w:val="en-US"/>
              </w:rPr>
              <w:t>202</w:t>
            </w:r>
            <w:r w:rsidR="008B14AF">
              <w:rPr>
                <w:rFonts w:ascii="Calibri" w:eastAsia="Calibri" w:hAnsi="Calibri"/>
                <w:sz w:val="24"/>
                <w:szCs w:val="24"/>
                <w:lang w:val="en-US"/>
              </w:rPr>
              <w:t>4</w:t>
            </w:r>
            <w:r w:rsidRPr="00DA4B8D">
              <w:rPr>
                <w:rFonts w:ascii="Calibri" w:eastAsia="Calibri" w:hAnsi="Calibri"/>
                <w:sz w:val="24"/>
                <w:szCs w:val="24"/>
                <w:lang w:val="en-US"/>
              </w:rPr>
              <w:t>.</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F2C3E" w14:textId="77777777" w:rsidR="00155AF1" w:rsidRPr="00DA4B8D" w:rsidRDefault="00155AF1" w:rsidP="00C84E31">
            <w:pPr>
              <w:suppressAutoHyphens/>
              <w:autoSpaceDN w:val="0"/>
              <w:contextualSpacing/>
              <w:rPr>
                <w:rFonts w:ascii="Calibri" w:eastAsia="Calibri" w:hAnsi="Calibri"/>
                <w:sz w:val="24"/>
                <w:szCs w:val="24"/>
                <w:lang w:val="en-US"/>
              </w:rPr>
            </w:pPr>
            <w:r w:rsidRPr="00DA4B8D">
              <w:rPr>
                <w:rFonts w:ascii="Calibri" w:eastAsia="Calibri" w:hAnsi="Calibri"/>
                <w:sz w:val="24"/>
                <w:szCs w:val="24"/>
                <w:lang w:val="en-US"/>
              </w:rPr>
              <w:t>Plan</w:t>
            </w:r>
          </w:p>
          <w:p w14:paraId="5A211B7E" w14:textId="329CA4BA" w:rsidR="00155AF1" w:rsidRPr="00DA4B8D" w:rsidRDefault="00155AF1" w:rsidP="00C84E31">
            <w:pPr>
              <w:suppressAutoHyphens/>
              <w:autoSpaceDN w:val="0"/>
              <w:contextualSpacing/>
              <w:rPr>
                <w:rFonts w:ascii="Calibri" w:eastAsia="Calibri" w:hAnsi="Calibri"/>
                <w:sz w:val="24"/>
                <w:szCs w:val="24"/>
                <w:lang w:val="en-US"/>
              </w:rPr>
            </w:pPr>
            <w:r w:rsidRPr="00DA4B8D">
              <w:rPr>
                <w:rFonts w:ascii="Calibri" w:eastAsia="Calibri" w:hAnsi="Calibri"/>
                <w:sz w:val="24"/>
                <w:szCs w:val="24"/>
                <w:lang w:val="en-US"/>
              </w:rPr>
              <w:t>202</w:t>
            </w:r>
            <w:r w:rsidR="008B14AF">
              <w:rPr>
                <w:rFonts w:ascii="Calibri" w:eastAsia="Calibri" w:hAnsi="Calibri"/>
                <w:sz w:val="24"/>
                <w:szCs w:val="24"/>
                <w:lang w:val="en-US"/>
              </w:rPr>
              <w:t>5</w:t>
            </w:r>
            <w:r w:rsidRPr="00DA4B8D">
              <w:rPr>
                <w:rFonts w:ascii="Calibri" w:eastAsia="Calibri" w:hAnsi="Calibri"/>
                <w:sz w:val="24"/>
                <w:szCs w:val="24"/>
                <w:lang w:val="en-US"/>
              </w:rPr>
              <w:t>.</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889DD" w14:textId="77777777" w:rsidR="00155AF1" w:rsidRPr="00DA4B8D" w:rsidRDefault="00155AF1" w:rsidP="00C84E31">
            <w:pPr>
              <w:suppressAutoHyphens/>
              <w:autoSpaceDN w:val="0"/>
              <w:contextualSpacing/>
              <w:rPr>
                <w:rFonts w:ascii="Calibri" w:eastAsia="Calibri" w:hAnsi="Calibri"/>
                <w:sz w:val="24"/>
                <w:szCs w:val="24"/>
                <w:lang w:val="en-US"/>
              </w:rPr>
            </w:pPr>
            <w:r w:rsidRPr="00DA4B8D">
              <w:rPr>
                <w:rFonts w:ascii="Calibri" w:eastAsia="Calibri" w:hAnsi="Calibri"/>
                <w:sz w:val="24"/>
                <w:szCs w:val="24"/>
                <w:lang w:val="en-US"/>
              </w:rPr>
              <w:t>Plan</w:t>
            </w:r>
          </w:p>
          <w:p w14:paraId="053DBC01" w14:textId="4334DDE5" w:rsidR="00155AF1" w:rsidRPr="00DA4B8D" w:rsidRDefault="00155AF1" w:rsidP="00C84E31">
            <w:pPr>
              <w:suppressAutoHyphens/>
              <w:autoSpaceDN w:val="0"/>
              <w:contextualSpacing/>
              <w:rPr>
                <w:rFonts w:ascii="Calibri" w:eastAsia="Calibri" w:hAnsi="Calibri"/>
                <w:sz w:val="24"/>
                <w:szCs w:val="24"/>
                <w:lang w:val="en-US"/>
              </w:rPr>
            </w:pPr>
            <w:r w:rsidRPr="00DA4B8D">
              <w:rPr>
                <w:rFonts w:ascii="Calibri" w:eastAsia="Calibri" w:hAnsi="Calibri"/>
                <w:sz w:val="24"/>
                <w:szCs w:val="24"/>
                <w:lang w:val="en-US"/>
              </w:rPr>
              <w:t>202</w:t>
            </w:r>
            <w:r w:rsidR="008B14AF">
              <w:rPr>
                <w:rFonts w:ascii="Calibri" w:eastAsia="Calibri" w:hAnsi="Calibri"/>
                <w:sz w:val="24"/>
                <w:szCs w:val="24"/>
                <w:lang w:val="en-US"/>
              </w:rPr>
              <w:t>6</w:t>
            </w:r>
            <w:r w:rsidRPr="00DA4B8D">
              <w:rPr>
                <w:rFonts w:ascii="Calibri" w:eastAsia="Calibri" w:hAnsi="Calibri"/>
                <w:sz w:val="24"/>
                <w:szCs w:val="24"/>
                <w:lang w:val="en-US"/>
              </w:rPr>
              <w:t>.</w:t>
            </w:r>
          </w:p>
        </w:tc>
      </w:tr>
      <w:tr w:rsidR="00155AF1" w:rsidRPr="00DA4B8D" w14:paraId="1F726F56" w14:textId="77777777" w:rsidTr="00C84E31">
        <w:trPr>
          <w:trHeight w:val="1199"/>
        </w:trPr>
        <w:tc>
          <w:tcPr>
            <w:tcW w:w="43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E76A3" w14:textId="77777777" w:rsidR="00155AF1" w:rsidRPr="00DA4B8D" w:rsidRDefault="00155AF1" w:rsidP="00C84E31">
            <w:pPr>
              <w:suppressAutoHyphens/>
              <w:autoSpaceDN w:val="0"/>
              <w:contextualSpacing/>
              <w:rPr>
                <w:rFonts w:ascii="Calibri" w:eastAsia="Calibri" w:hAnsi="Calibri"/>
                <w:sz w:val="24"/>
                <w:szCs w:val="24"/>
                <w:lang w:val="en-US"/>
              </w:rPr>
            </w:pPr>
          </w:p>
          <w:p w14:paraId="2699A6CB" w14:textId="77777777" w:rsidR="00155AF1" w:rsidRDefault="00155AF1" w:rsidP="00C84E31">
            <w:pPr>
              <w:suppressAutoHyphens/>
              <w:autoSpaceDN w:val="0"/>
              <w:contextualSpacing/>
              <w:rPr>
                <w:rFonts w:ascii="Calibri" w:eastAsia="Calibri" w:hAnsi="Calibri"/>
                <w:sz w:val="24"/>
                <w:szCs w:val="24"/>
                <w:lang w:val="en-US"/>
              </w:rPr>
            </w:pPr>
            <w:r>
              <w:rPr>
                <w:rFonts w:ascii="Calibri" w:eastAsia="Calibri" w:hAnsi="Calibri"/>
                <w:sz w:val="24"/>
                <w:szCs w:val="24"/>
                <w:lang w:val="en-US"/>
              </w:rPr>
              <w:t xml:space="preserve">Program </w:t>
            </w:r>
            <w:proofErr w:type="spellStart"/>
            <w:r>
              <w:rPr>
                <w:rFonts w:ascii="Calibri" w:eastAsia="Calibri" w:hAnsi="Calibri"/>
                <w:sz w:val="24"/>
                <w:szCs w:val="24"/>
                <w:lang w:val="en-US"/>
              </w:rPr>
              <w:t>doktoranada</w:t>
            </w:r>
            <w:proofErr w:type="spellEnd"/>
            <w:r w:rsidR="002C3BF5">
              <w:rPr>
                <w:rFonts w:ascii="Calibri" w:eastAsia="Calibri" w:hAnsi="Calibri"/>
                <w:sz w:val="24"/>
                <w:szCs w:val="24"/>
                <w:lang w:val="en-US"/>
              </w:rPr>
              <w:t xml:space="preserve"> </w:t>
            </w:r>
            <w:proofErr w:type="spellStart"/>
            <w:r w:rsidR="002C3BF5">
              <w:rPr>
                <w:rFonts w:ascii="Calibri" w:eastAsia="Calibri" w:hAnsi="Calibri"/>
                <w:sz w:val="24"/>
                <w:szCs w:val="24"/>
                <w:lang w:val="en-US"/>
              </w:rPr>
              <w:t>i</w:t>
            </w:r>
            <w:proofErr w:type="spellEnd"/>
            <w:r>
              <w:rPr>
                <w:rFonts w:ascii="Calibri" w:eastAsia="Calibri" w:hAnsi="Calibri"/>
                <w:sz w:val="24"/>
                <w:szCs w:val="24"/>
                <w:lang w:val="en-US"/>
              </w:rPr>
              <w:t xml:space="preserve"> </w:t>
            </w:r>
            <w:proofErr w:type="spellStart"/>
            <w:r>
              <w:rPr>
                <w:rFonts w:ascii="Calibri" w:eastAsia="Calibri" w:hAnsi="Calibri"/>
                <w:sz w:val="24"/>
                <w:szCs w:val="24"/>
                <w:lang w:val="en-US"/>
              </w:rPr>
              <w:t>poslijedoktoranada</w:t>
            </w:r>
            <w:proofErr w:type="spellEnd"/>
            <w:r>
              <w:rPr>
                <w:rFonts w:ascii="Calibri" w:eastAsia="Calibri" w:hAnsi="Calibri"/>
                <w:sz w:val="24"/>
                <w:szCs w:val="24"/>
                <w:lang w:val="en-US"/>
              </w:rPr>
              <w:t xml:space="preserve"> HRZZ</w:t>
            </w:r>
          </w:p>
          <w:p w14:paraId="5C0A3A2F" w14:textId="5E6125B8" w:rsidR="008B14AF" w:rsidRPr="00DA4B8D" w:rsidRDefault="008B14AF" w:rsidP="00C84E31">
            <w:pPr>
              <w:suppressAutoHyphens/>
              <w:autoSpaceDN w:val="0"/>
              <w:contextualSpacing/>
              <w:rPr>
                <w:rFonts w:ascii="Calibri" w:eastAsia="Calibri" w:hAnsi="Calibri"/>
                <w:sz w:val="24"/>
                <w:szCs w:val="24"/>
                <w:lang w:val="en-US"/>
              </w:rPr>
            </w:pPr>
            <w:proofErr w:type="spellStart"/>
            <w:r>
              <w:rPr>
                <w:rFonts w:ascii="Calibri" w:eastAsia="Calibri" w:hAnsi="Calibri"/>
                <w:sz w:val="24"/>
                <w:szCs w:val="24"/>
                <w:lang w:val="en-US"/>
              </w:rPr>
              <w:t>Aktivnost</w:t>
            </w:r>
            <w:proofErr w:type="spellEnd"/>
            <w:r>
              <w:rPr>
                <w:rFonts w:ascii="Calibri" w:eastAsia="Calibri" w:hAnsi="Calibri"/>
                <w:sz w:val="24"/>
                <w:szCs w:val="24"/>
                <w:lang w:val="en-US"/>
              </w:rPr>
              <w:t xml:space="preserve"> A557042</w:t>
            </w: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66F74B" w14:textId="43593650" w:rsidR="00155AF1" w:rsidRPr="00DA4B8D" w:rsidRDefault="008B14AF" w:rsidP="00C84E31">
            <w:pPr>
              <w:suppressAutoHyphens/>
              <w:autoSpaceDN w:val="0"/>
              <w:contextualSpacing/>
              <w:rPr>
                <w:rFonts w:ascii="Arial" w:eastAsia="Calibri" w:hAnsi="Arial" w:cs="Arial"/>
                <w:lang w:val="en-US"/>
              </w:rPr>
            </w:pPr>
            <w:r>
              <w:rPr>
                <w:rFonts w:ascii="Arial" w:eastAsia="Calibri" w:hAnsi="Arial" w:cs="Arial"/>
                <w:lang w:val="en-US"/>
              </w:rPr>
              <w:t xml:space="preserve">   783.000</w:t>
            </w:r>
            <w:r w:rsidR="00155AF1">
              <w:rPr>
                <w:rFonts w:ascii="Arial" w:eastAsia="Calibri" w:hAnsi="Arial" w:cs="Arial"/>
                <w:lang w:val="en-US"/>
              </w:rPr>
              <w:t xml:space="preserve"> EUR</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9A008" w14:textId="14706D1E" w:rsidR="00155AF1" w:rsidRPr="00DA4B8D" w:rsidRDefault="008B14AF" w:rsidP="00C84E31">
            <w:pPr>
              <w:suppressAutoHyphens/>
              <w:autoSpaceDN w:val="0"/>
              <w:contextualSpacing/>
              <w:rPr>
                <w:rFonts w:ascii="Arial" w:eastAsia="Calibri" w:hAnsi="Arial" w:cs="Arial"/>
                <w:lang w:val="en-US"/>
              </w:rPr>
            </w:pPr>
            <w:r>
              <w:rPr>
                <w:rFonts w:ascii="Arial" w:eastAsia="Calibri" w:hAnsi="Arial" w:cs="Arial"/>
                <w:lang w:val="en-US"/>
              </w:rPr>
              <w:t xml:space="preserve">  453.000</w:t>
            </w:r>
            <w:r w:rsidR="00155AF1">
              <w:rPr>
                <w:rFonts w:ascii="Arial" w:eastAsia="Calibri" w:hAnsi="Arial" w:cs="Arial"/>
                <w:lang w:val="en-US"/>
              </w:rPr>
              <w:t xml:space="preserve"> EUR</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ED3E0D" w14:textId="6D6ECE1A" w:rsidR="00155AF1" w:rsidRPr="00DA4B8D" w:rsidRDefault="008B14AF" w:rsidP="00C84E31">
            <w:pPr>
              <w:suppressAutoHyphens/>
              <w:autoSpaceDN w:val="0"/>
              <w:contextualSpacing/>
              <w:rPr>
                <w:rFonts w:ascii="Arial" w:eastAsia="Calibri" w:hAnsi="Arial" w:cs="Arial"/>
                <w:lang w:val="en-US"/>
              </w:rPr>
            </w:pPr>
            <w:r>
              <w:rPr>
                <w:rFonts w:ascii="Arial" w:eastAsia="Calibri" w:hAnsi="Arial" w:cs="Arial"/>
                <w:lang w:val="en-US"/>
              </w:rPr>
              <w:t>56.000</w:t>
            </w:r>
            <w:r w:rsidR="00155AF1">
              <w:rPr>
                <w:rFonts w:ascii="Arial" w:eastAsia="Calibri" w:hAnsi="Arial" w:cs="Arial"/>
                <w:lang w:val="en-US"/>
              </w:rPr>
              <w:t xml:space="preserve"> EUR</w:t>
            </w:r>
          </w:p>
        </w:tc>
      </w:tr>
      <w:tr w:rsidR="00155AF1" w:rsidRPr="00DA4B8D" w14:paraId="1873DFCA" w14:textId="77777777" w:rsidTr="00C84E31">
        <w:trPr>
          <w:trHeight w:val="1130"/>
        </w:trPr>
        <w:tc>
          <w:tcPr>
            <w:tcW w:w="43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876DC" w14:textId="77777777" w:rsidR="00155AF1" w:rsidRDefault="00155AF1" w:rsidP="00C84E31">
            <w:pPr>
              <w:suppressAutoHyphens/>
              <w:autoSpaceDN w:val="0"/>
              <w:contextualSpacing/>
              <w:rPr>
                <w:rFonts w:ascii="Calibri" w:eastAsia="Calibri" w:hAnsi="Calibri"/>
                <w:sz w:val="24"/>
                <w:szCs w:val="24"/>
                <w:lang w:val="en-US"/>
              </w:rPr>
            </w:pPr>
            <w:proofErr w:type="spellStart"/>
            <w:r>
              <w:rPr>
                <w:rFonts w:ascii="Calibri" w:eastAsia="Calibri" w:hAnsi="Calibri"/>
                <w:sz w:val="24"/>
                <w:szCs w:val="24"/>
                <w:lang w:val="en-US"/>
              </w:rPr>
              <w:t>Projektno</w:t>
            </w:r>
            <w:proofErr w:type="spellEnd"/>
            <w:r>
              <w:rPr>
                <w:rFonts w:ascii="Calibri" w:eastAsia="Calibri" w:hAnsi="Calibri"/>
                <w:sz w:val="24"/>
                <w:szCs w:val="24"/>
                <w:lang w:val="en-US"/>
              </w:rPr>
              <w:t xml:space="preserve"> </w:t>
            </w:r>
            <w:proofErr w:type="spellStart"/>
            <w:r>
              <w:rPr>
                <w:rFonts w:ascii="Calibri" w:eastAsia="Calibri" w:hAnsi="Calibri"/>
                <w:sz w:val="24"/>
                <w:szCs w:val="24"/>
                <w:lang w:val="en-US"/>
              </w:rPr>
              <w:t>financiranje</w:t>
            </w:r>
            <w:proofErr w:type="spellEnd"/>
            <w:r>
              <w:rPr>
                <w:rFonts w:ascii="Calibri" w:eastAsia="Calibri" w:hAnsi="Calibri"/>
                <w:sz w:val="24"/>
                <w:szCs w:val="24"/>
                <w:lang w:val="en-US"/>
              </w:rPr>
              <w:t xml:space="preserve"> </w:t>
            </w:r>
            <w:proofErr w:type="spellStart"/>
            <w:r>
              <w:rPr>
                <w:rFonts w:ascii="Calibri" w:eastAsia="Calibri" w:hAnsi="Calibri"/>
                <w:sz w:val="24"/>
                <w:szCs w:val="24"/>
                <w:lang w:val="en-US"/>
              </w:rPr>
              <w:t>znanstvene</w:t>
            </w:r>
            <w:proofErr w:type="spellEnd"/>
            <w:r>
              <w:rPr>
                <w:rFonts w:ascii="Calibri" w:eastAsia="Calibri" w:hAnsi="Calibri"/>
                <w:sz w:val="24"/>
                <w:szCs w:val="24"/>
                <w:lang w:val="en-US"/>
              </w:rPr>
              <w:t xml:space="preserve"> </w:t>
            </w:r>
            <w:proofErr w:type="spellStart"/>
            <w:r>
              <w:rPr>
                <w:rFonts w:ascii="Calibri" w:eastAsia="Calibri" w:hAnsi="Calibri"/>
                <w:sz w:val="24"/>
                <w:szCs w:val="24"/>
                <w:lang w:val="en-US"/>
              </w:rPr>
              <w:t>djelatnosti</w:t>
            </w:r>
            <w:proofErr w:type="spellEnd"/>
            <w:r>
              <w:rPr>
                <w:rFonts w:ascii="Calibri" w:eastAsia="Calibri" w:hAnsi="Calibri"/>
                <w:sz w:val="24"/>
                <w:szCs w:val="24"/>
                <w:lang w:val="en-US"/>
              </w:rPr>
              <w:t xml:space="preserve"> HRZZ</w:t>
            </w:r>
          </w:p>
          <w:p w14:paraId="0425FE54" w14:textId="538595FD" w:rsidR="009800D6" w:rsidRPr="00DA4B8D" w:rsidRDefault="009800D6" w:rsidP="00C84E31">
            <w:pPr>
              <w:suppressAutoHyphens/>
              <w:autoSpaceDN w:val="0"/>
              <w:contextualSpacing/>
              <w:rPr>
                <w:rFonts w:ascii="Calibri" w:eastAsia="Calibri" w:hAnsi="Calibri"/>
                <w:sz w:val="24"/>
                <w:szCs w:val="24"/>
                <w:lang w:val="en-US"/>
              </w:rPr>
            </w:pPr>
            <w:proofErr w:type="spellStart"/>
            <w:r>
              <w:rPr>
                <w:rFonts w:ascii="Calibri" w:eastAsia="Calibri" w:hAnsi="Calibri"/>
                <w:sz w:val="24"/>
                <w:szCs w:val="24"/>
                <w:lang w:val="en-US"/>
              </w:rPr>
              <w:t>Aktivnost</w:t>
            </w:r>
            <w:proofErr w:type="spellEnd"/>
            <w:r>
              <w:rPr>
                <w:rFonts w:ascii="Calibri" w:eastAsia="Calibri" w:hAnsi="Calibri"/>
                <w:sz w:val="24"/>
                <w:szCs w:val="24"/>
                <w:lang w:val="en-US"/>
              </w:rPr>
              <w:t xml:space="preserve"> A621048</w:t>
            </w: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A85F4" w14:textId="5620A420" w:rsidR="00155AF1" w:rsidRDefault="00155AF1" w:rsidP="00C84E31">
            <w:pPr>
              <w:suppressAutoHyphens/>
              <w:autoSpaceDN w:val="0"/>
              <w:contextualSpacing/>
              <w:rPr>
                <w:rFonts w:ascii="Arial" w:eastAsia="Calibri" w:hAnsi="Arial" w:cs="Arial"/>
                <w:lang w:val="en-US"/>
              </w:rPr>
            </w:pPr>
            <w:r>
              <w:rPr>
                <w:rFonts w:ascii="Arial" w:eastAsia="Calibri" w:hAnsi="Arial" w:cs="Arial"/>
                <w:lang w:val="en-US"/>
              </w:rPr>
              <w:t xml:space="preserve">   </w:t>
            </w:r>
            <w:r w:rsidR="008B14AF">
              <w:rPr>
                <w:rFonts w:ascii="Arial" w:eastAsia="Calibri" w:hAnsi="Arial" w:cs="Arial"/>
                <w:lang w:val="en-US"/>
              </w:rPr>
              <w:t xml:space="preserve">551.090 </w:t>
            </w:r>
            <w:r>
              <w:rPr>
                <w:rFonts w:ascii="Arial" w:eastAsia="Calibri" w:hAnsi="Arial" w:cs="Arial"/>
                <w:lang w:val="en-US"/>
              </w:rPr>
              <w:t>EUR</w:t>
            </w:r>
          </w:p>
          <w:p w14:paraId="0311A647" w14:textId="279B2A64" w:rsidR="00155AF1" w:rsidRDefault="00155AF1" w:rsidP="00C84E31">
            <w:pPr>
              <w:suppressAutoHyphens/>
              <w:autoSpaceDN w:val="0"/>
              <w:contextualSpacing/>
              <w:rPr>
                <w:rFonts w:ascii="Arial" w:eastAsia="Calibri" w:hAnsi="Arial" w:cs="Arial"/>
                <w:lang w:val="en-US"/>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4B3F4" w14:textId="0822AB25" w:rsidR="00155AF1" w:rsidRDefault="00155AF1" w:rsidP="00C84E31">
            <w:pPr>
              <w:suppressAutoHyphens/>
              <w:autoSpaceDN w:val="0"/>
              <w:contextualSpacing/>
              <w:rPr>
                <w:rFonts w:ascii="Arial" w:eastAsia="Calibri" w:hAnsi="Arial" w:cs="Arial"/>
                <w:lang w:val="en-US"/>
              </w:rPr>
            </w:pPr>
            <w:r>
              <w:rPr>
                <w:rFonts w:ascii="Arial" w:eastAsia="Calibri" w:hAnsi="Arial" w:cs="Arial"/>
                <w:lang w:val="en-US"/>
              </w:rPr>
              <w:t xml:space="preserve">  </w:t>
            </w:r>
            <w:r w:rsidR="008B14AF">
              <w:rPr>
                <w:rFonts w:ascii="Arial" w:eastAsia="Calibri" w:hAnsi="Arial" w:cs="Arial"/>
                <w:lang w:val="en-US"/>
              </w:rPr>
              <w:t>153.971</w:t>
            </w:r>
            <w:r>
              <w:rPr>
                <w:rFonts w:ascii="Arial" w:eastAsia="Calibri" w:hAnsi="Arial" w:cs="Arial"/>
                <w:lang w:val="en-US"/>
              </w:rPr>
              <w:t xml:space="preserve"> EUR</w:t>
            </w:r>
          </w:p>
          <w:p w14:paraId="36188065" w14:textId="71199ACB" w:rsidR="00155AF1" w:rsidRDefault="00155AF1" w:rsidP="00C84E31">
            <w:pPr>
              <w:suppressAutoHyphens/>
              <w:autoSpaceDN w:val="0"/>
              <w:contextualSpacing/>
              <w:rPr>
                <w:rFonts w:ascii="Arial" w:eastAsia="Calibri" w:hAnsi="Arial" w:cs="Arial"/>
                <w:lang w:val="en-US"/>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26A9F" w14:textId="02098A90" w:rsidR="00155AF1" w:rsidRDefault="008B14AF" w:rsidP="00C84E31">
            <w:pPr>
              <w:suppressAutoHyphens/>
              <w:autoSpaceDN w:val="0"/>
              <w:contextualSpacing/>
              <w:rPr>
                <w:rFonts w:ascii="Arial" w:eastAsia="Calibri" w:hAnsi="Arial" w:cs="Arial"/>
                <w:lang w:val="en-US"/>
              </w:rPr>
            </w:pPr>
            <w:r>
              <w:rPr>
                <w:rFonts w:ascii="Arial" w:eastAsia="Calibri" w:hAnsi="Arial" w:cs="Arial"/>
                <w:lang w:val="en-US"/>
              </w:rPr>
              <w:t>1.520</w:t>
            </w:r>
            <w:r w:rsidR="00155AF1">
              <w:rPr>
                <w:rFonts w:ascii="Arial" w:eastAsia="Calibri" w:hAnsi="Arial" w:cs="Arial"/>
                <w:lang w:val="en-US"/>
              </w:rPr>
              <w:t xml:space="preserve"> EUR</w:t>
            </w:r>
          </w:p>
          <w:p w14:paraId="28C13DFD" w14:textId="147DDC0D" w:rsidR="00155AF1" w:rsidRDefault="00155AF1" w:rsidP="00C84E31">
            <w:pPr>
              <w:suppressAutoHyphens/>
              <w:autoSpaceDN w:val="0"/>
              <w:contextualSpacing/>
              <w:rPr>
                <w:rFonts w:ascii="Arial" w:eastAsia="Calibri" w:hAnsi="Arial" w:cs="Arial"/>
                <w:lang w:val="en-US"/>
              </w:rPr>
            </w:pPr>
          </w:p>
        </w:tc>
      </w:tr>
    </w:tbl>
    <w:p w14:paraId="6C521102" w14:textId="77777777" w:rsidR="00FB374C" w:rsidRDefault="00FB374C" w:rsidP="00155AF1">
      <w:pPr>
        <w:spacing w:before="274" w:beforeAutospacing="1" w:after="274" w:afterAutospacing="1"/>
        <w:jc w:val="both"/>
        <w:rPr>
          <w:rFonts w:ascii="Verdana" w:hAnsi="Verdana"/>
          <w:color w:val="333333"/>
          <w:sz w:val="21"/>
          <w:szCs w:val="21"/>
        </w:rPr>
      </w:pPr>
    </w:p>
    <w:p w14:paraId="7EA6A5EE" w14:textId="77777777" w:rsidR="00F32C01" w:rsidRDefault="00F32C01" w:rsidP="00155AF1">
      <w:pPr>
        <w:spacing w:before="274" w:beforeAutospacing="1" w:after="274" w:afterAutospacing="1"/>
        <w:jc w:val="both"/>
        <w:rPr>
          <w:rFonts w:ascii="Verdana" w:hAnsi="Verdana"/>
          <w:color w:val="333333"/>
          <w:sz w:val="21"/>
          <w:szCs w:val="21"/>
        </w:rPr>
      </w:pPr>
    </w:p>
    <w:p w14:paraId="5D72818A" w14:textId="77777777" w:rsidR="00DC6403" w:rsidRDefault="00DC6403" w:rsidP="00DC6403">
      <w:pPr>
        <w:spacing w:after="0"/>
        <w:jc w:val="both"/>
        <w:rPr>
          <w:i/>
        </w:rPr>
      </w:pPr>
    </w:p>
    <w:p w14:paraId="0FF16AC6" w14:textId="548AB98C" w:rsidR="00F815A6" w:rsidRPr="001A07ED" w:rsidRDefault="00F815A6" w:rsidP="001A07ED">
      <w:pPr>
        <w:jc w:val="both"/>
        <w:rPr>
          <w:i/>
        </w:rPr>
      </w:pPr>
    </w:p>
    <w:p w14:paraId="00EF3627" w14:textId="77777777" w:rsidR="00805AB2" w:rsidRDefault="00805AB2" w:rsidP="00805AB2">
      <w:pPr>
        <w:pBdr>
          <w:top w:val="dotted" w:sz="4" w:space="1" w:color="808080" w:themeColor="background1" w:themeShade="80"/>
          <w:bottom w:val="dotted" w:sz="4" w:space="1" w:color="808080" w:themeColor="background1" w:themeShade="80"/>
        </w:pBdr>
        <w:shd w:val="clear" w:color="auto" w:fill="D0CECE" w:themeFill="background2" w:themeFillShade="E6"/>
        <w:jc w:val="both"/>
        <w:rPr>
          <w:b/>
          <w:sz w:val="28"/>
        </w:rPr>
      </w:pPr>
      <w:r w:rsidRPr="005F6CA8">
        <w:rPr>
          <w:b/>
          <w:sz w:val="28"/>
        </w:rPr>
        <w:t>EGP</w:t>
      </w:r>
      <w:r>
        <w:rPr>
          <w:b/>
          <w:sz w:val="28"/>
        </w:rPr>
        <w:t xml:space="preserve"> </w:t>
      </w:r>
      <w:r w:rsidRPr="005F6CA8">
        <w:rPr>
          <w:b/>
          <w:sz w:val="28"/>
        </w:rPr>
        <w:t>financijskog mehanizma za razdoblje od 2014. do 2021.</w:t>
      </w:r>
    </w:p>
    <w:p w14:paraId="73FD2F09" w14:textId="77777777" w:rsidR="00805AB2" w:rsidRDefault="00805AB2" w:rsidP="00DA6B42">
      <w:pPr>
        <w:jc w:val="both"/>
        <w:rPr>
          <w:i/>
        </w:rPr>
      </w:pPr>
      <w:r>
        <w:rPr>
          <w:i/>
        </w:rPr>
        <w:t>Zakonske i druge pravne osnove</w:t>
      </w:r>
    </w:p>
    <w:p w14:paraId="63B8657A" w14:textId="4F358A48" w:rsidR="009F2001" w:rsidRDefault="009F2001" w:rsidP="00DA6B42">
      <w:pPr>
        <w:pStyle w:val="ListParagraph"/>
        <w:numPr>
          <w:ilvl w:val="0"/>
          <w:numId w:val="22"/>
        </w:numPr>
        <w:jc w:val="both"/>
        <w:rPr>
          <w:rFonts w:ascii="Times New Roman" w:hAnsi="Times New Roman" w:cs="Times New Roman"/>
          <w:sz w:val="24"/>
          <w:szCs w:val="24"/>
        </w:rPr>
      </w:pPr>
      <w:r w:rsidRPr="00D20690">
        <w:rPr>
          <w:rFonts w:ascii="Times New Roman" w:hAnsi="Times New Roman" w:cs="Times New Roman"/>
          <w:sz w:val="24"/>
          <w:szCs w:val="24"/>
        </w:rPr>
        <w:t>Zakon o visokom obrazovanju i znanstvenoj djelatnosti</w:t>
      </w:r>
      <w:r w:rsidRPr="00FC4877">
        <w:rPr>
          <w:rFonts w:ascii="Times New Roman" w:hAnsi="Times New Roman" w:cs="Times New Roman"/>
          <w:sz w:val="24"/>
          <w:szCs w:val="24"/>
        </w:rPr>
        <w:t xml:space="preserve"> (NN br. </w:t>
      </w:r>
      <w:r w:rsidRPr="00D20690">
        <w:rPr>
          <w:rFonts w:ascii="Times New Roman" w:hAnsi="Times New Roman" w:cs="Times New Roman"/>
          <w:sz w:val="24"/>
          <w:szCs w:val="24"/>
        </w:rPr>
        <w:t>119/2022</w:t>
      </w:r>
      <w:r w:rsidRPr="00FC4877">
        <w:rPr>
          <w:rFonts w:ascii="Times New Roman" w:hAnsi="Times New Roman" w:cs="Times New Roman"/>
          <w:sz w:val="24"/>
          <w:szCs w:val="24"/>
        </w:rPr>
        <w:t>)</w:t>
      </w:r>
    </w:p>
    <w:p w14:paraId="1E41E418" w14:textId="5406D3EE" w:rsidR="00805AB2" w:rsidRDefault="00805AB2" w:rsidP="00DA6B42">
      <w:pPr>
        <w:pStyle w:val="ListParagraph"/>
        <w:numPr>
          <w:ilvl w:val="0"/>
          <w:numId w:val="22"/>
        </w:numPr>
        <w:jc w:val="both"/>
        <w:rPr>
          <w:rFonts w:ascii="Times New Roman" w:hAnsi="Times New Roman" w:cs="Times New Roman"/>
          <w:sz w:val="24"/>
          <w:szCs w:val="24"/>
        </w:rPr>
      </w:pPr>
      <w:r w:rsidRPr="00805AB2">
        <w:rPr>
          <w:rFonts w:ascii="Times New Roman" w:hAnsi="Times New Roman" w:cs="Times New Roman"/>
          <w:sz w:val="24"/>
          <w:szCs w:val="24"/>
        </w:rPr>
        <w:t>Strategija razvoja Prirodoslovno-matematičkog fakulteta Sveučilišta u Zagrebu za razdoblje 2022. – 2027. (2022.)</w:t>
      </w:r>
    </w:p>
    <w:p w14:paraId="3690835D" w14:textId="5817F36A" w:rsidR="009F2001" w:rsidRPr="009F2001" w:rsidRDefault="009F2001" w:rsidP="00DA6B42">
      <w:pPr>
        <w:pStyle w:val="ListParagraph"/>
        <w:numPr>
          <w:ilvl w:val="0"/>
          <w:numId w:val="22"/>
        </w:numPr>
        <w:jc w:val="both"/>
        <w:rPr>
          <w:rFonts w:ascii="Times New Roman" w:hAnsi="Times New Roman" w:cs="Times New Roman"/>
          <w:sz w:val="24"/>
          <w:szCs w:val="24"/>
        </w:rPr>
      </w:pPr>
      <w:r w:rsidRPr="009F2001">
        <w:rPr>
          <w:rFonts w:ascii="Times New Roman" w:hAnsi="Times New Roman" w:cs="Times New Roman"/>
          <w:sz w:val="24"/>
          <w:szCs w:val="24"/>
        </w:rPr>
        <w:t>Uredba o provedbi EGP financijskog mehanizma 2014. — 2021. (23. rujna</w:t>
      </w:r>
      <w:r>
        <w:rPr>
          <w:rFonts w:ascii="Times New Roman" w:hAnsi="Times New Roman" w:cs="Times New Roman"/>
          <w:sz w:val="24"/>
          <w:szCs w:val="24"/>
        </w:rPr>
        <w:t xml:space="preserve"> </w:t>
      </w:r>
      <w:r w:rsidRPr="009F2001">
        <w:rPr>
          <w:rFonts w:ascii="Times New Roman" w:hAnsi="Times New Roman" w:cs="Times New Roman"/>
          <w:sz w:val="24"/>
          <w:szCs w:val="24"/>
        </w:rPr>
        <w:t>2016.)</w:t>
      </w:r>
    </w:p>
    <w:p w14:paraId="60D82E81" w14:textId="62782782" w:rsidR="00805AB2" w:rsidRDefault="00805AB2" w:rsidP="00DA6B42">
      <w:pPr>
        <w:pStyle w:val="ListParagraph"/>
        <w:numPr>
          <w:ilvl w:val="0"/>
          <w:numId w:val="22"/>
        </w:numPr>
        <w:jc w:val="both"/>
        <w:rPr>
          <w:rFonts w:ascii="Times New Roman" w:hAnsi="Times New Roman" w:cs="Times New Roman"/>
          <w:sz w:val="24"/>
          <w:szCs w:val="24"/>
        </w:rPr>
      </w:pPr>
      <w:r w:rsidRPr="00805AB2">
        <w:rPr>
          <w:rFonts w:ascii="Times New Roman" w:hAnsi="Times New Roman" w:cs="Times New Roman"/>
          <w:sz w:val="24"/>
          <w:szCs w:val="24"/>
        </w:rPr>
        <w:t>Memorandum o suglasnosti o provedbi EGP</w:t>
      </w:r>
      <w:r>
        <w:rPr>
          <w:rFonts w:ascii="Times New Roman" w:hAnsi="Times New Roman" w:cs="Times New Roman"/>
          <w:sz w:val="24"/>
          <w:szCs w:val="24"/>
        </w:rPr>
        <w:t xml:space="preserve"> </w:t>
      </w:r>
      <w:r w:rsidRPr="00805AB2">
        <w:rPr>
          <w:rFonts w:ascii="Times New Roman" w:hAnsi="Times New Roman" w:cs="Times New Roman"/>
          <w:sz w:val="24"/>
          <w:szCs w:val="24"/>
        </w:rPr>
        <w:t>financijskog mehanizma za razdoblje od 2014. do 2021. godine između Islanda,</w:t>
      </w:r>
      <w:r>
        <w:rPr>
          <w:rFonts w:ascii="Times New Roman" w:hAnsi="Times New Roman" w:cs="Times New Roman"/>
          <w:sz w:val="24"/>
          <w:szCs w:val="24"/>
        </w:rPr>
        <w:t xml:space="preserve"> </w:t>
      </w:r>
      <w:r w:rsidRPr="00805AB2">
        <w:rPr>
          <w:rFonts w:ascii="Times New Roman" w:hAnsi="Times New Roman" w:cs="Times New Roman"/>
          <w:sz w:val="24"/>
          <w:szCs w:val="24"/>
        </w:rPr>
        <w:t>Kneževine Lihtenštajna, Kraljevine Norveške i Republike Hrvatske</w:t>
      </w:r>
      <w:r>
        <w:rPr>
          <w:rFonts w:ascii="Times New Roman" w:hAnsi="Times New Roman" w:cs="Times New Roman"/>
          <w:sz w:val="24"/>
          <w:szCs w:val="24"/>
        </w:rPr>
        <w:t xml:space="preserve"> (3. srpnja 2018.)</w:t>
      </w:r>
    </w:p>
    <w:p w14:paraId="607CF722" w14:textId="2C3AE1A5" w:rsidR="00805AB2" w:rsidRDefault="00805AB2" w:rsidP="00DA6B42">
      <w:pPr>
        <w:pStyle w:val="ListParagraph"/>
        <w:numPr>
          <w:ilvl w:val="0"/>
          <w:numId w:val="22"/>
        </w:numPr>
        <w:jc w:val="both"/>
        <w:rPr>
          <w:rFonts w:ascii="Times New Roman" w:hAnsi="Times New Roman" w:cs="Times New Roman"/>
          <w:sz w:val="24"/>
          <w:szCs w:val="24"/>
        </w:rPr>
      </w:pPr>
      <w:r w:rsidRPr="00805AB2">
        <w:rPr>
          <w:rFonts w:ascii="Times New Roman" w:hAnsi="Times New Roman" w:cs="Times New Roman"/>
          <w:sz w:val="24"/>
          <w:szCs w:val="24"/>
        </w:rPr>
        <w:t>Memorandum o</w:t>
      </w:r>
      <w:r>
        <w:rPr>
          <w:rFonts w:ascii="Times New Roman" w:hAnsi="Times New Roman" w:cs="Times New Roman"/>
          <w:sz w:val="24"/>
          <w:szCs w:val="24"/>
        </w:rPr>
        <w:t xml:space="preserve"> </w:t>
      </w:r>
      <w:r w:rsidRPr="00805AB2">
        <w:rPr>
          <w:rFonts w:ascii="Times New Roman" w:hAnsi="Times New Roman" w:cs="Times New Roman"/>
          <w:sz w:val="24"/>
          <w:szCs w:val="24"/>
        </w:rPr>
        <w:t>suglasnosti o provedbi Norveškog financijskog mehanizma za razdoblje od 2014. do</w:t>
      </w:r>
      <w:r>
        <w:rPr>
          <w:rFonts w:ascii="Times New Roman" w:hAnsi="Times New Roman" w:cs="Times New Roman"/>
          <w:sz w:val="24"/>
          <w:szCs w:val="24"/>
        </w:rPr>
        <w:t xml:space="preserve"> </w:t>
      </w:r>
      <w:r w:rsidRPr="00805AB2">
        <w:rPr>
          <w:rFonts w:ascii="Times New Roman" w:hAnsi="Times New Roman" w:cs="Times New Roman"/>
          <w:sz w:val="24"/>
          <w:szCs w:val="24"/>
        </w:rPr>
        <w:t>2021. godine između Kraljevine Norveške i Republike Hrvatske</w:t>
      </w:r>
    </w:p>
    <w:p w14:paraId="69EF3F2C" w14:textId="5A293101" w:rsidR="00805AB2" w:rsidRDefault="00805AB2" w:rsidP="00DA6B42">
      <w:pPr>
        <w:pStyle w:val="ListParagraph"/>
        <w:numPr>
          <w:ilvl w:val="0"/>
          <w:numId w:val="22"/>
        </w:numPr>
        <w:jc w:val="both"/>
        <w:rPr>
          <w:rFonts w:ascii="Times New Roman" w:hAnsi="Times New Roman" w:cs="Times New Roman"/>
          <w:sz w:val="24"/>
          <w:szCs w:val="24"/>
        </w:rPr>
      </w:pPr>
      <w:r w:rsidRPr="00805AB2">
        <w:rPr>
          <w:rFonts w:ascii="Times New Roman" w:hAnsi="Times New Roman" w:cs="Times New Roman"/>
          <w:sz w:val="24"/>
          <w:szCs w:val="24"/>
        </w:rPr>
        <w:t>Sporazum o Fondu za bilateralne odnose</w:t>
      </w:r>
      <w:r>
        <w:rPr>
          <w:rFonts w:ascii="Times New Roman" w:hAnsi="Times New Roman" w:cs="Times New Roman"/>
          <w:sz w:val="24"/>
          <w:szCs w:val="24"/>
        </w:rPr>
        <w:t xml:space="preserve"> (28. ožujka 2019.)</w:t>
      </w:r>
    </w:p>
    <w:p w14:paraId="7949E254" w14:textId="731977AB" w:rsidR="009A4C57" w:rsidRDefault="009A4C57" w:rsidP="00B762FD">
      <w:pPr>
        <w:pStyle w:val="ListParagraph"/>
        <w:numPr>
          <w:ilvl w:val="0"/>
          <w:numId w:val="22"/>
        </w:numPr>
        <w:jc w:val="both"/>
        <w:rPr>
          <w:rFonts w:ascii="Times New Roman" w:hAnsi="Times New Roman" w:cs="Times New Roman"/>
          <w:sz w:val="24"/>
          <w:szCs w:val="24"/>
        </w:rPr>
      </w:pPr>
      <w:r w:rsidRPr="009A4C57">
        <w:rPr>
          <w:rFonts w:ascii="Times New Roman" w:hAnsi="Times New Roman" w:cs="Times New Roman"/>
          <w:sz w:val="24"/>
          <w:szCs w:val="24"/>
        </w:rPr>
        <w:t>Odluka o provedbi Programa</w:t>
      </w:r>
      <w:r>
        <w:rPr>
          <w:rFonts w:ascii="Times New Roman" w:hAnsi="Times New Roman" w:cs="Times New Roman"/>
          <w:sz w:val="24"/>
          <w:szCs w:val="24"/>
        </w:rPr>
        <w:t xml:space="preserve"> </w:t>
      </w:r>
      <w:r w:rsidRPr="009A4C57">
        <w:rPr>
          <w:rFonts w:ascii="Times New Roman" w:hAnsi="Times New Roman" w:cs="Times New Roman"/>
          <w:sz w:val="24"/>
          <w:szCs w:val="24"/>
        </w:rPr>
        <w:t>,,Lokalni razvoj i smanjenje siromaštva"</w:t>
      </w:r>
      <w:r>
        <w:rPr>
          <w:rFonts w:ascii="Times New Roman" w:hAnsi="Times New Roman" w:cs="Times New Roman"/>
          <w:sz w:val="24"/>
          <w:szCs w:val="24"/>
        </w:rPr>
        <w:t xml:space="preserve"> (19. travnja 2021.)</w:t>
      </w:r>
    </w:p>
    <w:p w14:paraId="3310CE96" w14:textId="7E9E7687" w:rsidR="00E65366" w:rsidRDefault="00E65366" w:rsidP="00B762FD">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 xml:space="preserve">Ugovor </w:t>
      </w:r>
      <w:r w:rsidRPr="00E65366">
        <w:rPr>
          <w:rFonts w:ascii="Times New Roman" w:hAnsi="Times New Roman" w:cs="Times New Roman"/>
          <w:sz w:val="24"/>
          <w:szCs w:val="24"/>
        </w:rPr>
        <w:t xml:space="preserve">o dodjeli bespovratnih sredstava između Prirodoslovno-matematičkog fakulteta Sveučilišta u Zagrebu i </w:t>
      </w:r>
      <w:r>
        <w:rPr>
          <w:rFonts w:ascii="Times New Roman" w:hAnsi="Times New Roman" w:cs="Times New Roman"/>
          <w:sz w:val="24"/>
          <w:szCs w:val="24"/>
        </w:rPr>
        <w:t>Ministarstva regionalnog razvoja i fondova EU</w:t>
      </w:r>
    </w:p>
    <w:tbl>
      <w:tblPr>
        <w:tblStyle w:val="TableGrid"/>
        <w:tblW w:w="9067" w:type="dxa"/>
        <w:tblLook w:val="04A0" w:firstRow="1" w:lastRow="0" w:firstColumn="1" w:lastColumn="0" w:noHBand="0" w:noVBand="1"/>
      </w:tblPr>
      <w:tblGrid>
        <w:gridCol w:w="2063"/>
        <w:gridCol w:w="1226"/>
        <w:gridCol w:w="1526"/>
        <w:gridCol w:w="1417"/>
        <w:gridCol w:w="1276"/>
        <w:gridCol w:w="1559"/>
      </w:tblGrid>
      <w:tr w:rsidR="00E65366" w14:paraId="79CF98D4" w14:textId="77777777" w:rsidTr="00524858">
        <w:tc>
          <w:tcPr>
            <w:tcW w:w="2063"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D1B3457" w14:textId="77777777" w:rsidR="00E65366" w:rsidRDefault="00E65366" w:rsidP="00761DF0">
            <w:pPr>
              <w:jc w:val="both"/>
            </w:pPr>
          </w:p>
          <w:p w14:paraId="37B3BE14" w14:textId="77777777" w:rsidR="00E65366" w:rsidRDefault="00E65366" w:rsidP="00761DF0">
            <w:pPr>
              <w:jc w:val="both"/>
            </w:pPr>
          </w:p>
        </w:tc>
        <w:tc>
          <w:tcPr>
            <w:tcW w:w="122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8FE241" w14:textId="609888A1" w:rsidR="00E65366" w:rsidRDefault="00E65366" w:rsidP="00761DF0">
            <w:pPr>
              <w:jc w:val="center"/>
            </w:pPr>
            <w:r>
              <w:t>Izvršenje 202</w:t>
            </w:r>
            <w:r w:rsidR="009F2001">
              <w:t>3</w:t>
            </w:r>
            <w:r>
              <w:t>.</w:t>
            </w:r>
          </w:p>
        </w:tc>
        <w:tc>
          <w:tcPr>
            <w:tcW w:w="152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E79B0C" w14:textId="6322076A" w:rsidR="00E65366" w:rsidRDefault="00E65366" w:rsidP="00761DF0">
            <w:pPr>
              <w:jc w:val="center"/>
            </w:pPr>
            <w:r>
              <w:t>Plan 202</w:t>
            </w:r>
            <w:r w:rsidR="009F2001">
              <w:t>4</w:t>
            </w:r>
            <w:r>
              <w:t>.</w:t>
            </w:r>
          </w:p>
        </w:tc>
        <w:tc>
          <w:tcPr>
            <w:tcW w:w="141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34077A" w14:textId="6AA7A136" w:rsidR="00E65366" w:rsidRDefault="00E65366" w:rsidP="00761DF0">
            <w:pPr>
              <w:jc w:val="center"/>
            </w:pPr>
            <w:r>
              <w:t>Plan 202</w:t>
            </w:r>
            <w:r w:rsidR="009F2001">
              <w:t>5</w:t>
            </w:r>
            <w:r>
              <w:t>.</w:t>
            </w:r>
          </w:p>
        </w:tc>
        <w:tc>
          <w:tcPr>
            <w:tcW w:w="1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0FD7B9" w14:textId="2F9AC668" w:rsidR="00E65366" w:rsidRDefault="00E65366" w:rsidP="00761DF0">
            <w:pPr>
              <w:jc w:val="center"/>
            </w:pPr>
            <w:r>
              <w:t>Plan 202</w:t>
            </w:r>
            <w:r w:rsidR="009F2001">
              <w:t>6</w:t>
            </w:r>
            <w:r>
              <w:t>.</w:t>
            </w:r>
          </w:p>
        </w:tc>
        <w:tc>
          <w:tcPr>
            <w:tcW w:w="15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CD38630" w14:textId="79416B54" w:rsidR="00E65366" w:rsidRDefault="00E65366" w:rsidP="00761DF0">
            <w:pPr>
              <w:jc w:val="center"/>
            </w:pPr>
            <w:r>
              <w:t xml:space="preserve">Indeks </w:t>
            </w:r>
          </w:p>
        </w:tc>
      </w:tr>
      <w:tr w:rsidR="00524858" w14:paraId="00B2EF07" w14:textId="77777777" w:rsidTr="00524858">
        <w:tc>
          <w:tcPr>
            <w:tcW w:w="2063" w:type="dxa"/>
            <w:tcBorders>
              <w:top w:val="single" w:sz="4" w:space="0" w:color="auto"/>
              <w:left w:val="single" w:sz="4" w:space="0" w:color="auto"/>
              <w:bottom w:val="single" w:sz="4" w:space="0" w:color="auto"/>
              <w:right w:val="single" w:sz="4" w:space="0" w:color="auto"/>
            </w:tcBorders>
            <w:hideMark/>
          </w:tcPr>
          <w:p w14:paraId="28872B1B" w14:textId="41C0385F" w:rsidR="00524858" w:rsidRDefault="00524858" w:rsidP="00524858">
            <w:r w:rsidRPr="00524858">
              <w:t>04-UBS-U-0002/22-90 Geofizičko-seizmološka istraživanja potresom ugroženih područja u RH i razvoj atenuacijskih relacija predviđanja seizmičkog gibanja tla</w:t>
            </w:r>
          </w:p>
        </w:tc>
        <w:tc>
          <w:tcPr>
            <w:tcW w:w="1226" w:type="dxa"/>
            <w:tcBorders>
              <w:top w:val="single" w:sz="4" w:space="0" w:color="auto"/>
              <w:left w:val="single" w:sz="4" w:space="0" w:color="auto"/>
              <w:bottom w:val="single" w:sz="4" w:space="0" w:color="auto"/>
              <w:right w:val="single" w:sz="4" w:space="0" w:color="auto"/>
            </w:tcBorders>
          </w:tcPr>
          <w:p w14:paraId="648D7955" w14:textId="77777777" w:rsidR="00524858" w:rsidRDefault="00524858" w:rsidP="00524858">
            <w:pPr>
              <w:jc w:val="both"/>
            </w:pPr>
          </w:p>
        </w:tc>
        <w:tc>
          <w:tcPr>
            <w:tcW w:w="1526" w:type="dxa"/>
            <w:tcBorders>
              <w:top w:val="single" w:sz="4" w:space="0" w:color="auto"/>
              <w:left w:val="single" w:sz="4" w:space="0" w:color="auto"/>
              <w:bottom w:val="single" w:sz="4" w:space="0" w:color="auto"/>
              <w:right w:val="single" w:sz="4" w:space="0" w:color="auto"/>
            </w:tcBorders>
            <w:vAlign w:val="bottom"/>
          </w:tcPr>
          <w:p w14:paraId="6E31CBB8" w14:textId="62D11E2A" w:rsidR="00524858" w:rsidRPr="00AB3712" w:rsidRDefault="009F2001" w:rsidP="009F2001">
            <w:pPr>
              <w:jc w:val="both"/>
              <w:rPr>
                <w:color w:val="FF0000"/>
              </w:rPr>
            </w:pPr>
            <w:r w:rsidRPr="00AB3712">
              <w:rPr>
                <w:rFonts w:ascii="Calibri" w:hAnsi="Calibri" w:cs="Calibri"/>
              </w:rPr>
              <w:t xml:space="preserve">539.600 </w:t>
            </w:r>
            <w:r w:rsidR="00524858" w:rsidRPr="00AB3712">
              <w:rPr>
                <w:rFonts w:ascii="Calibri" w:hAnsi="Calibri" w:cs="Calibri"/>
              </w:rPr>
              <w:t>EUR</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761343A" w14:textId="650FB399" w:rsidR="00524858" w:rsidRDefault="00524858" w:rsidP="009F2001">
            <w:pPr>
              <w:jc w:val="both"/>
            </w:pPr>
          </w:p>
        </w:tc>
        <w:tc>
          <w:tcPr>
            <w:tcW w:w="1276" w:type="dxa"/>
            <w:tcBorders>
              <w:top w:val="single" w:sz="4" w:space="0" w:color="auto"/>
              <w:left w:val="single" w:sz="4" w:space="0" w:color="auto"/>
              <w:bottom w:val="single" w:sz="4" w:space="0" w:color="auto"/>
              <w:right w:val="single" w:sz="4" w:space="0" w:color="auto"/>
            </w:tcBorders>
            <w:hideMark/>
          </w:tcPr>
          <w:p w14:paraId="371D5B94" w14:textId="77777777" w:rsidR="00524858" w:rsidRDefault="00524858" w:rsidP="00524858">
            <w:pPr>
              <w:jc w:val="both"/>
            </w:pPr>
            <w:r>
              <w:t>-</w:t>
            </w:r>
          </w:p>
        </w:tc>
        <w:tc>
          <w:tcPr>
            <w:tcW w:w="1559" w:type="dxa"/>
            <w:tcBorders>
              <w:top w:val="single" w:sz="4" w:space="0" w:color="auto"/>
              <w:left w:val="single" w:sz="4" w:space="0" w:color="auto"/>
              <w:bottom w:val="single" w:sz="4" w:space="0" w:color="auto"/>
              <w:right w:val="single" w:sz="4" w:space="0" w:color="auto"/>
            </w:tcBorders>
          </w:tcPr>
          <w:p w14:paraId="7C4F13AE" w14:textId="77777777" w:rsidR="00524858" w:rsidRDefault="00524858" w:rsidP="00524858">
            <w:pPr>
              <w:jc w:val="both"/>
            </w:pPr>
          </w:p>
        </w:tc>
      </w:tr>
      <w:tr w:rsidR="001A07ED" w14:paraId="16A42815" w14:textId="77777777" w:rsidTr="00524858">
        <w:tc>
          <w:tcPr>
            <w:tcW w:w="2063" w:type="dxa"/>
            <w:tcBorders>
              <w:top w:val="single" w:sz="4" w:space="0" w:color="auto"/>
              <w:left w:val="single" w:sz="4" w:space="0" w:color="auto"/>
              <w:bottom w:val="single" w:sz="4" w:space="0" w:color="auto"/>
              <w:right w:val="single" w:sz="4" w:space="0" w:color="auto"/>
            </w:tcBorders>
          </w:tcPr>
          <w:p w14:paraId="7E923287" w14:textId="35265974" w:rsidR="001A07ED" w:rsidRPr="00524858" w:rsidRDefault="001A07ED" w:rsidP="00524858">
            <w:r w:rsidRPr="001A07ED">
              <w:t>04-UBS-U-0030/23-21 Empowering the Water-Energy-Food Nexus by incorporating biodiversity and climate awareness (WatNex)</w:t>
            </w:r>
          </w:p>
        </w:tc>
        <w:tc>
          <w:tcPr>
            <w:tcW w:w="1226" w:type="dxa"/>
            <w:tcBorders>
              <w:top w:val="single" w:sz="4" w:space="0" w:color="auto"/>
              <w:left w:val="single" w:sz="4" w:space="0" w:color="auto"/>
              <w:bottom w:val="single" w:sz="4" w:space="0" w:color="auto"/>
              <w:right w:val="single" w:sz="4" w:space="0" w:color="auto"/>
            </w:tcBorders>
          </w:tcPr>
          <w:p w14:paraId="49A96399" w14:textId="77777777" w:rsidR="001A07ED" w:rsidRDefault="001A07ED" w:rsidP="00524858">
            <w:pPr>
              <w:jc w:val="both"/>
            </w:pPr>
          </w:p>
        </w:tc>
        <w:tc>
          <w:tcPr>
            <w:tcW w:w="1526" w:type="dxa"/>
            <w:tcBorders>
              <w:top w:val="single" w:sz="4" w:space="0" w:color="auto"/>
              <w:left w:val="single" w:sz="4" w:space="0" w:color="auto"/>
              <w:bottom w:val="single" w:sz="4" w:space="0" w:color="auto"/>
              <w:right w:val="single" w:sz="4" w:space="0" w:color="auto"/>
            </w:tcBorders>
            <w:vAlign w:val="bottom"/>
          </w:tcPr>
          <w:p w14:paraId="025EB67C" w14:textId="44CA1BE0" w:rsidR="001A07ED" w:rsidRDefault="001A07ED" w:rsidP="009F2001">
            <w:pPr>
              <w:jc w:val="both"/>
              <w:rPr>
                <w:rFonts w:ascii="Calibri" w:hAnsi="Calibri" w:cs="Calibri"/>
                <w:color w:val="000000"/>
              </w:rPr>
            </w:pPr>
            <w:r w:rsidRPr="00AB3712">
              <w:rPr>
                <w:rFonts w:ascii="Calibri" w:hAnsi="Calibri" w:cs="Calibri"/>
              </w:rPr>
              <w:t>10.987 EUR</w:t>
            </w:r>
          </w:p>
        </w:tc>
        <w:tc>
          <w:tcPr>
            <w:tcW w:w="1417" w:type="dxa"/>
            <w:tcBorders>
              <w:top w:val="single" w:sz="4" w:space="0" w:color="auto"/>
              <w:left w:val="single" w:sz="4" w:space="0" w:color="auto"/>
              <w:bottom w:val="single" w:sz="4" w:space="0" w:color="auto"/>
              <w:right w:val="single" w:sz="4" w:space="0" w:color="auto"/>
            </w:tcBorders>
            <w:vAlign w:val="bottom"/>
          </w:tcPr>
          <w:p w14:paraId="068B549E" w14:textId="77777777" w:rsidR="001A07ED" w:rsidRDefault="001A07ED" w:rsidP="009F2001">
            <w:pPr>
              <w:jc w:val="both"/>
            </w:pPr>
          </w:p>
        </w:tc>
        <w:tc>
          <w:tcPr>
            <w:tcW w:w="1276" w:type="dxa"/>
            <w:tcBorders>
              <w:top w:val="single" w:sz="4" w:space="0" w:color="auto"/>
              <w:left w:val="single" w:sz="4" w:space="0" w:color="auto"/>
              <w:bottom w:val="single" w:sz="4" w:space="0" w:color="auto"/>
              <w:right w:val="single" w:sz="4" w:space="0" w:color="auto"/>
            </w:tcBorders>
          </w:tcPr>
          <w:p w14:paraId="2A39F344" w14:textId="77777777" w:rsidR="001A07ED" w:rsidRDefault="001A07ED" w:rsidP="00524858">
            <w:pPr>
              <w:jc w:val="both"/>
            </w:pPr>
          </w:p>
        </w:tc>
        <w:tc>
          <w:tcPr>
            <w:tcW w:w="1559" w:type="dxa"/>
            <w:tcBorders>
              <w:top w:val="single" w:sz="4" w:space="0" w:color="auto"/>
              <w:left w:val="single" w:sz="4" w:space="0" w:color="auto"/>
              <w:bottom w:val="single" w:sz="4" w:space="0" w:color="auto"/>
              <w:right w:val="single" w:sz="4" w:space="0" w:color="auto"/>
            </w:tcBorders>
          </w:tcPr>
          <w:p w14:paraId="0C363537" w14:textId="77777777" w:rsidR="001A07ED" w:rsidRDefault="001A07ED" w:rsidP="00524858">
            <w:pPr>
              <w:jc w:val="both"/>
            </w:pPr>
          </w:p>
        </w:tc>
      </w:tr>
    </w:tbl>
    <w:p w14:paraId="0934149D" w14:textId="77777777" w:rsidR="00E65366" w:rsidRDefault="00E65366" w:rsidP="00E65366">
      <w:pPr>
        <w:spacing w:after="0"/>
        <w:jc w:val="both"/>
        <w:rPr>
          <w:i/>
        </w:rPr>
      </w:pPr>
    </w:p>
    <w:p w14:paraId="2E07852F" w14:textId="77777777" w:rsidR="00E65366" w:rsidRDefault="00E65366" w:rsidP="00E65366">
      <w:pPr>
        <w:spacing w:after="0"/>
        <w:jc w:val="both"/>
        <w:rPr>
          <w:i/>
        </w:rPr>
      </w:pPr>
    </w:p>
    <w:p w14:paraId="0221B9B2" w14:textId="77777777" w:rsidR="00120537" w:rsidRDefault="00120537" w:rsidP="00E65366">
      <w:pPr>
        <w:spacing w:after="0"/>
        <w:jc w:val="both"/>
        <w:rPr>
          <w:i/>
        </w:rPr>
      </w:pPr>
    </w:p>
    <w:p w14:paraId="718D24BE" w14:textId="3D611DF7" w:rsidR="00E65366" w:rsidRDefault="00E65366" w:rsidP="00E65366">
      <w:pPr>
        <w:spacing w:after="0"/>
        <w:jc w:val="both"/>
        <w:rPr>
          <w:b/>
          <w:i/>
        </w:rPr>
      </w:pPr>
      <w:r w:rsidRPr="00E65366">
        <w:rPr>
          <w:b/>
          <w:i/>
        </w:rPr>
        <w:t>04-UBS-U-0002/22-90 Geofizičko</w:t>
      </w:r>
      <w:r>
        <w:rPr>
          <w:b/>
          <w:i/>
        </w:rPr>
        <w:t>-</w:t>
      </w:r>
      <w:r w:rsidRPr="00E65366">
        <w:rPr>
          <w:b/>
          <w:i/>
        </w:rPr>
        <w:t>seizmološka istraživanja potresom</w:t>
      </w:r>
      <w:r>
        <w:rPr>
          <w:b/>
          <w:i/>
        </w:rPr>
        <w:t xml:space="preserve"> </w:t>
      </w:r>
      <w:r w:rsidRPr="00E65366">
        <w:rPr>
          <w:b/>
          <w:i/>
        </w:rPr>
        <w:t>ugroženih područja u RH i razvoj atenuacijskih</w:t>
      </w:r>
      <w:r>
        <w:rPr>
          <w:b/>
          <w:i/>
        </w:rPr>
        <w:t xml:space="preserve"> </w:t>
      </w:r>
      <w:r w:rsidRPr="00E65366">
        <w:rPr>
          <w:b/>
          <w:i/>
        </w:rPr>
        <w:t>relacija predviđanja seizmičkog gibanja tla</w:t>
      </w:r>
    </w:p>
    <w:p w14:paraId="4EC78552" w14:textId="77777777" w:rsidR="00E65366" w:rsidRDefault="00E65366" w:rsidP="00E65366">
      <w:pPr>
        <w:spacing w:after="0"/>
        <w:jc w:val="both"/>
        <w:rPr>
          <w:b/>
          <w:i/>
        </w:rPr>
      </w:pPr>
    </w:p>
    <w:p w14:paraId="68B3FCB6" w14:textId="77777777" w:rsidR="00BC1205" w:rsidRDefault="00BC1205" w:rsidP="00BC1205">
      <w:pPr>
        <w:spacing w:after="0"/>
        <w:jc w:val="both"/>
        <w:rPr>
          <w:bCs/>
          <w:i/>
        </w:rPr>
      </w:pPr>
      <w:r w:rsidRPr="00923C33">
        <w:rPr>
          <w:bCs/>
          <w:i/>
        </w:rPr>
        <w:t>Projek</w:t>
      </w:r>
      <w:r>
        <w:rPr>
          <w:bCs/>
          <w:i/>
        </w:rPr>
        <w:t>t se sastoji od dvije komponente:</w:t>
      </w:r>
    </w:p>
    <w:p w14:paraId="5BF2BD0A" w14:textId="77777777" w:rsidR="00BC1205" w:rsidRPr="00923C33" w:rsidRDefault="00BC1205" w:rsidP="00BC1205">
      <w:pPr>
        <w:spacing w:after="0"/>
        <w:jc w:val="both"/>
        <w:rPr>
          <w:bCs/>
          <w:i/>
        </w:rPr>
      </w:pPr>
    </w:p>
    <w:p w14:paraId="0A4B0A31" w14:textId="77777777" w:rsidR="00BC1205" w:rsidRPr="00BC1205" w:rsidRDefault="00BC1205" w:rsidP="00BC1205">
      <w:pPr>
        <w:pStyle w:val="ListParagraph"/>
        <w:numPr>
          <w:ilvl w:val="0"/>
          <w:numId w:val="22"/>
        </w:numPr>
        <w:spacing w:after="0"/>
        <w:jc w:val="both"/>
        <w:rPr>
          <w:bCs/>
          <w:i/>
        </w:rPr>
      </w:pPr>
      <w:r w:rsidRPr="00BC1205">
        <w:rPr>
          <w:bCs/>
          <w:i/>
        </w:rPr>
        <w:lastRenderedPageBreak/>
        <w:t>Komponenta 1 - procjena seizmogenog potencijala te karakterizacija sustava seizmičkih rasjeda i ponašanja rasjeda na temelju prikupljenih podataka primjenom suvremenih seizmoloških metoda</w:t>
      </w:r>
    </w:p>
    <w:p w14:paraId="7BD2C04E" w14:textId="77777777" w:rsidR="00BC1205" w:rsidRPr="00BC1205" w:rsidRDefault="00BC1205" w:rsidP="00BC1205">
      <w:pPr>
        <w:pStyle w:val="ListParagraph"/>
        <w:numPr>
          <w:ilvl w:val="0"/>
          <w:numId w:val="22"/>
        </w:numPr>
        <w:spacing w:after="0"/>
        <w:jc w:val="both"/>
        <w:rPr>
          <w:bCs/>
          <w:i/>
        </w:rPr>
      </w:pPr>
      <w:r w:rsidRPr="00BC1205">
        <w:rPr>
          <w:bCs/>
          <w:i/>
        </w:rPr>
        <w:t>Komponenta 2 - razvoj atenuacijskih relacija za predviđanje gibanja tla uzrokovanog potresom (GMPE – jednadžba predviđanja gibanja tla)</w:t>
      </w:r>
    </w:p>
    <w:p w14:paraId="5F286D9D" w14:textId="77777777" w:rsidR="00BC1205" w:rsidRPr="00923C33" w:rsidRDefault="00BC1205" w:rsidP="00BC1205">
      <w:pPr>
        <w:spacing w:after="0"/>
        <w:jc w:val="both"/>
        <w:rPr>
          <w:bCs/>
          <w:i/>
        </w:rPr>
      </w:pPr>
    </w:p>
    <w:p w14:paraId="2D0214DA" w14:textId="77777777" w:rsidR="00BC1205" w:rsidRDefault="00BC1205" w:rsidP="00BC1205">
      <w:pPr>
        <w:spacing w:after="0"/>
        <w:jc w:val="both"/>
        <w:rPr>
          <w:b/>
          <w:i/>
        </w:rPr>
      </w:pPr>
    </w:p>
    <w:p w14:paraId="43E6A97D" w14:textId="77777777" w:rsidR="00BC1205" w:rsidRPr="00524858" w:rsidRDefault="00BC1205" w:rsidP="00BC1205">
      <w:pPr>
        <w:spacing w:after="0"/>
        <w:jc w:val="both"/>
        <w:rPr>
          <w:i/>
        </w:rPr>
      </w:pPr>
      <w:r w:rsidRPr="009D005B">
        <w:rPr>
          <w:i/>
        </w:rPr>
        <w:t>Provedba ove aktivnosti</w:t>
      </w:r>
      <w:r>
        <w:rPr>
          <w:i/>
        </w:rPr>
        <w:t xml:space="preserve"> </w:t>
      </w:r>
      <w:r w:rsidRPr="009D005B">
        <w:rPr>
          <w:i/>
        </w:rPr>
        <w:t>projekta započela je 20</w:t>
      </w:r>
      <w:r>
        <w:rPr>
          <w:i/>
        </w:rPr>
        <w:t>22.</w:t>
      </w:r>
      <w:r w:rsidRPr="009D005B">
        <w:rPr>
          <w:i/>
        </w:rPr>
        <w:t xml:space="preserve"> godine. </w:t>
      </w:r>
    </w:p>
    <w:p w14:paraId="03010664" w14:textId="77777777" w:rsidR="00BC1205" w:rsidRPr="00524858" w:rsidRDefault="00BC1205" w:rsidP="00BC1205">
      <w:pPr>
        <w:spacing w:after="0"/>
        <w:jc w:val="both"/>
        <w:rPr>
          <w:i/>
        </w:rPr>
      </w:pPr>
    </w:p>
    <w:p w14:paraId="595EE5F8" w14:textId="77777777" w:rsidR="00BC1205" w:rsidRPr="009F7021" w:rsidRDefault="00BC1205" w:rsidP="00BC1205">
      <w:pPr>
        <w:spacing w:after="0"/>
        <w:jc w:val="both"/>
        <w:rPr>
          <w:i/>
        </w:rPr>
      </w:pPr>
      <w:r w:rsidRPr="00524858">
        <w:rPr>
          <w:i/>
        </w:rPr>
        <w:t>Glavna svrha projekta „Geofizičko-seizmološka istraživanja potresom ugroženih područja u RH i razvoj atenuacijskih relacija predviđanja seizmičkog gibanja tla – CRONOS“ jest učiniti hrvatsko društvo otpornijim na utjecaj snažnih potresa. Osnovni ciljevi projekta CRONOS su olakšati razvoj i modernizaciju procjene potresne opasnosti Hrvatske te steći znanja i razviti alate, primjerice ažurirane karte i modele, za razvoj pravila za umanjivanje potresne ugroženosti. To će se postići unapređenjem znanstvene infrastrukture, povećanjem kapaciteta i prijenosom znanja, uključujući i komunikaciju s donosiocima odluka na državnoj, regionalnoj i lokalnoj razini te međunarodnu istraživačku suradnju. Projekt će pomoći poboljšanju seizmološke znanstvene zajednice u Hrvatskoj i Norveškoj te jačanju bilateralne suradnje i prijenosa znanja</w:t>
      </w:r>
      <w:r w:rsidRPr="009F7021">
        <w:rPr>
          <w:i/>
        </w:rPr>
        <w:t>.</w:t>
      </w:r>
    </w:p>
    <w:p w14:paraId="28A94B6A" w14:textId="77777777" w:rsidR="00BC1205" w:rsidRDefault="00BC1205" w:rsidP="00BC1205">
      <w:pPr>
        <w:spacing w:after="0"/>
        <w:jc w:val="both"/>
        <w:rPr>
          <w:i/>
        </w:rPr>
      </w:pPr>
    </w:p>
    <w:p w14:paraId="01BEF6B5" w14:textId="77777777" w:rsidR="00BC1205" w:rsidRDefault="00BC1205" w:rsidP="00BC1205">
      <w:pPr>
        <w:spacing w:after="0"/>
        <w:jc w:val="both"/>
        <w:rPr>
          <w:i/>
        </w:rPr>
      </w:pPr>
      <w:bookmarkStart w:id="4" w:name="_Hlk147407255"/>
      <w:r w:rsidRPr="009D005B">
        <w:rPr>
          <w:i/>
        </w:rPr>
        <w:t>Izračun financijskog plana:</w:t>
      </w:r>
      <w:r w:rsidRPr="00716BD7">
        <w:t xml:space="preserve"> </w:t>
      </w:r>
    </w:p>
    <w:p w14:paraId="160B1F06" w14:textId="59382C82" w:rsidR="00BC1205" w:rsidRDefault="00BC1205" w:rsidP="00BC1205">
      <w:pPr>
        <w:spacing w:after="0"/>
        <w:jc w:val="both"/>
        <w:rPr>
          <w:i/>
        </w:rPr>
      </w:pPr>
      <w:r w:rsidRPr="00DE6C4D">
        <w:rPr>
          <w:i/>
        </w:rPr>
        <w:t>Ugovorom o dodjeli bespovratnih sredstava</w:t>
      </w:r>
      <w:r>
        <w:rPr>
          <w:i/>
        </w:rPr>
        <w:t xml:space="preserve"> sklopljenim između Prirodoslovno-matematičkog fakulteta Sveučilišta u Zagrebu i Ministarstva regionalnog razvoja i fondova EU</w:t>
      </w:r>
      <w:r w:rsidRPr="00DE6C4D">
        <w:rPr>
          <w:i/>
        </w:rPr>
        <w:t xml:space="preserve"> </w:t>
      </w:r>
      <w:r>
        <w:rPr>
          <w:i/>
        </w:rPr>
        <w:t xml:space="preserve">za provedbu projekta </w:t>
      </w:r>
      <w:r w:rsidRPr="00524858">
        <w:rPr>
          <w:i/>
        </w:rPr>
        <w:t>Geofizičko-seizmološka istraživanja potresom ugroženih područja u RH i razvoj atenuacijskih relacija predviđanja seizmičkog gibanja tla – CRONOS</w:t>
      </w:r>
      <w:r>
        <w:rPr>
          <w:i/>
        </w:rPr>
        <w:t>,</w:t>
      </w:r>
      <w:r w:rsidRPr="00F11D27">
        <w:rPr>
          <w:i/>
        </w:rPr>
        <w:t xml:space="preserve"> PMF</w:t>
      </w:r>
      <w:r w:rsidRPr="00DE6C4D">
        <w:rPr>
          <w:i/>
        </w:rPr>
        <w:t xml:space="preserve"> su dodijeljena bespovratna sredstva u iznosu </w:t>
      </w:r>
      <w:r>
        <w:rPr>
          <w:i/>
        </w:rPr>
        <w:t xml:space="preserve">od </w:t>
      </w:r>
      <w:r w:rsidRPr="00524858">
        <w:rPr>
          <w:i/>
        </w:rPr>
        <w:t xml:space="preserve">2.117.647,00 EUR. </w:t>
      </w:r>
      <w:r w:rsidR="009C113A" w:rsidRPr="009C113A">
        <w:rPr>
          <w:i/>
        </w:rPr>
        <w:t>Projekt je sufinanciran sredstvima Norveškog financijskog mehanizma za razdoblje od 2014. do 2021. u iznosu od 85% ukupnih prihvatljivih troškova, a obvezni udio nacionalnog sufinanciranja od 15% osigurat će se iz Državnog proračuna Republike Hrvatske.</w:t>
      </w:r>
    </w:p>
    <w:p w14:paraId="43B1F589" w14:textId="7B743421" w:rsidR="00BC1205" w:rsidRDefault="00BC1205" w:rsidP="00BC1205">
      <w:pPr>
        <w:spacing w:after="0"/>
        <w:jc w:val="both"/>
        <w:rPr>
          <w:i/>
        </w:rPr>
      </w:pPr>
      <w:r w:rsidRPr="00B15CD4">
        <w:rPr>
          <w:i/>
        </w:rPr>
        <w:t xml:space="preserve">Partner na projektu je </w:t>
      </w:r>
      <w:r>
        <w:rPr>
          <w:i/>
        </w:rPr>
        <w:t xml:space="preserve">Sveučilište u Bergenu, Norveška </w:t>
      </w:r>
      <w:r w:rsidRPr="00B15CD4">
        <w:rPr>
          <w:i/>
        </w:rPr>
        <w:t xml:space="preserve"> kojem je planiran prijenos sredstava u iznosu od </w:t>
      </w:r>
      <w:r w:rsidR="009F2001">
        <w:rPr>
          <w:i/>
        </w:rPr>
        <w:t>63.940</w:t>
      </w:r>
      <w:r w:rsidRPr="00B15CD4">
        <w:rPr>
          <w:i/>
        </w:rPr>
        <w:t xml:space="preserve"> EUR za provedbu projektnih aktivnosti u 202</w:t>
      </w:r>
      <w:r w:rsidR="009F2001">
        <w:rPr>
          <w:i/>
        </w:rPr>
        <w:t>4</w:t>
      </w:r>
      <w:r w:rsidRPr="00B15CD4">
        <w:rPr>
          <w:i/>
        </w:rPr>
        <w:t>. godini</w:t>
      </w:r>
      <w:r>
        <w:rPr>
          <w:i/>
        </w:rPr>
        <w:t>.</w:t>
      </w:r>
    </w:p>
    <w:p w14:paraId="1D2556C6" w14:textId="0B7F1A29" w:rsidR="00BC1205" w:rsidRDefault="00BC1205" w:rsidP="00BC1205">
      <w:pPr>
        <w:spacing w:after="0"/>
        <w:jc w:val="both"/>
        <w:rPr>
          <w:i/>
        </w:rPr>
      </w:pPr>
      <w:r>
        <w:rPr>
          <w:i/>
        </w:rPr>
        <w:t>Troškovi su planirani prema dinamici provedbe aktivnosti tijekom 2024. godine.</w:t>
      </w:r>
    </w:p>
    <w:bookmarkEnd w:id="4"/>
    <w:p w14:paraId="79C5A37E" w14:textId="77777777" w:rsidR="00EC2B56" w:rsidRDefault="00EC2B56" w:rsidP="00BC1205">
      <w:pPr>
        <w:spacing w:after="0"/>
        <w:jc w:val="both"/>
        <w:rPr>
          <w:i/>
        </w:rPr>
      </w:pPr>
    </w:p>
    <w:p w14:paraId="55322F3D" w14:textId="0F04B9AC" w:rsidR="00EC2B56" w:rsidRPr="00EC2B56" w:rsidRDefault="00EC2B56" w:rsidP="00EC2B56">
      <w:pPr>
        <w:spacing w:after="0"/>
        <w:jc w:val="both"/>
        <w:rPr>
          <w:b/>
          <w:i/>
        </w:rPr>
      </w:pPr>
      <w:r w:rsidRPr="00EC2B56">
        <w:rPr>
          <w:b/>
          <w:i/>
        </w:rPr>
        <w:t>04-UBS-U-0030/23-21 Empowering the Water-Energy-Food Nexus by incorporating biodiversity and climate</w:t>
      </w:r>
      <w:r>
        <w:rPr>
          <w:b/>
          <w:i/>
        </w:rPr>
        <w:t xml:space="preserve"> </w:t>
      </w:r>
      <w:r w:rsidRPr="00EC2B56">
        <w:rPr>
          <w:b/>
          <w:i/>
        </w:rPr>
        <w:t>awareness (WatNex)</w:t>
      </w:r>
    </w:p>
    <w:p w14:paraId="7BFD573C" w14:textId="77777777" w:rsidR="00B669F0" w:rsidRDefault="00B669F0" w:rsidP="00E55335">
      <w:pPr>
        <w:jc w:val="both"/>
        <w:rPr>
          <w:i/>
        </w:rPr>
      </w:pPr>
    </w:p>
    <w:p w14:paraId="4B7B9619" w14:textId="29A73A9B" w:rsidR="00DC6707" w:rsidRDefault="00DC6707" w:rsidP="00E55335">
      <w:pPr>
        <w:jc w:val="both"/>
        <w:rPr>
          <w:i/>
        </w:rPr>
      </w:pPr>
      <w:r>
        <w:rPr>
          <w:i/>
        </w:rPr>
        <w:t>Projekt se sastoji od sljedećih akivnosti:</w:t>
      </w:r>
    </w:p>
    <w:p w14:paraId="03A5AA55" w14:textId="79859433" w:rsidR="00DC6707" w:rsidRDefault="00DC6707" w:rsidP="00DC6707">
      <w:pPr>
        <w:pStyle w:val="ListParagraph"/>
        <w:numPr>
          <w:ilvl w:val="0"/>
          <w:numId w:val="22"/>
        </w:numPr>
        <w:jc w:val="both"/>
        <w:rPr>
          <w:i/>
        </w:rPr>
      </w:pPr>
      <w:r w:rsidRPr="00DC6707">
        <w:rPr>
          <w:i/>
        </w:rPr>
        <w:t>Tjedni događaj umrežavanja u Norveškoj</w:t>
      </w:r>
    </w:p>
    <w:p w14:paraId="3ECC1970" w14:textId="4697E21E" w:rsidR="00DC6707" w:rsidRDefault="00DC6707" w:rsidP="00DC6707">
      <w:pPr>
        <w:pStyle w:val="ListParagraph"/>
        <w:numPr>
          <w:ilvl w:val="0"/>
          <w:numId w:val="22"/>
        </w:numPr>
        <w:jc w:val="both"/>
        <w:rPr>
          <w:i/>
        </w:rPr>
      </w:pPr>
      <w:r>
        <w:rPr>
          <w:i/>
        </w:rPr>
        <w:t>T</w:t>
      </w:r>
      <w:r w:rsidRPr="00DC6707">
        <w:rPr>
          <w:i/>
        </w:rPr>
        <w:t>jedni networking događaj u Hrvatskoj</w:t>
      </w:r>
    </w:p>
    <w:p w14:paraId="2EAC64D6" w14:textId="4E67DEC8" w:rsidR="00DC6707" w:rsidRDefault="00DC6707" w:rsidP="00DC6707">
      <w:pPr>
        <w:pStyle w:val="ListParagraph"/>
        <w:numPr>
          <w:ilvl w:val="0"/>
          <w:numId w:val="22"/>
        </w:numPr>
        <w:jc w:val="both"/>
        <w:rPr>
          <w:i/>
        </w:rPr>
      </w:pPr>
      <w:r>
        <w:rPr>
          <w:i/>
        </w:rPr>
        <w:t>Aktivnosti umrežavanja</w:t>
      </w:r>
      <w:r w:rsidRPr="00DC6707">
        <w:rPr>
          <w:i/>
        </w:rPr>
        <w:t xml:space="preserve"> hrvatskih i norveških članova inicijative u drugim zemljama</w:t>
      </w:r>
    </w:p>
    <w:p w14:paraId="374D1ACA" w14:textId="29C22EBB" w:rsidR="00DC6707" w:rsidRPr="00DC6707" w:rsidRDefault="00DC6707" w:rsidP="00DC6707">
      <w:pPr>
        <w:pStyle w:val="ListParagraph"/>
        <w:numPr>
          <w:ilvl w:val="0"/>
          <w:numId w:val="22"/>
        </w:numPr>
        <w:jc w:val="both"/>
        <w:rPr>
          <w:i/>
        </w:rPr>
      </w:pPr>
      <w:r w:rsidRPr="00DC6707">
        <w:rPr>
          <w:i/>
        </w:rPr>
        <w:t>Pokretanje proširene platforme WatNex za suradnju</w:t>
      </w:r>
    </w:p>
    <w:p w14:paraId="4BFBE2A5" w14:textId="226D35C7" w:rsidR="00C44833" w:rsidRDefault="00C44833" w:rsidP="00E55335">
      <w:pPr>
        <w:jc w:val="both"/>
        <w:rPr>
          <w:i/>
        </w:rPr>
      </w:pPr>
      <w:r>
        <w:rPr>
          <w:i/>
        </w:rPr>
        <w:t xml:space="preserve">Provedba ove aktivnosti </w:t>
      </w:r>
      <w:r w:rsidRPr="00C44833">
        <w:rPr>
          <w:i/>
        </w:rPr>
        <w:t>započela je 202</w:t>
      </w:r>
      <w:r>
        <w:rPr>
          <w:i/>
        </w:rPr>
        <w:t>3</w:t>
      </w:r>
      <w:r w:rsidRPr="00C44833">
        <w:rPr>
          <w:i/>
        </w:rPr>
        <w:t>. godine.</w:t>
      </w:r>
    </w:p>
    <w:p w14:paraId="553E8902" w14:textId="3BA729F8" w:rsidR="00C44833" w:rsidRPr="00C44833" w:rsidRDefault="00C44833" w:rsidP="00C44833">
      <w:pPr>
        <w:jc w:val="both"/>
        <w:rPr>
          <w:i/>
        </w:rPr>
      </w:pPr>
      <w:r w:rsidRPr="00C44833">
        <w:rPr>
          <w:i/>
        </w:rPr>
        <w:t>Cilj WatNex inicijative je uspostava multidisciplinarne mreže stručnjaka i dionika različitih sustava/sektora koji se bave održivim izvorima vode, energije i hrane (Water-Energy-Food Nexus) i koji će kroz zajedničke aktivnosti u sklopu WatNex inicijative djelovati na podizanju svijesti o važnosti bioraznolikosti i funkcioniranja ekosustava za održivost vode, energije i hrane u kontekstu klimatskih promjena u nadolazećim desetljećima.</w:t>
      </w:r>
    </w:p>
    <w:p w14:paraId="5B1AF2AF" w14:textId="1701D228" w:rsidR="00C44833" w:rsidRPr="00C44833" w:rsidRDefault="00C44833" w:rsidP="00C44833">
      <w:pPr>
        <w:jc w:val="both"/>
        <w:rPr>
          <w:i/>
        </w:rPr>
      </w:pPr>
      <w:r w:rsidRPr="00C44833">
        <w:rPr>
          <w:i/>
        </w:rPr>
        <w:lastRenderedPageBreak/>
        <w:t>Uz spomenuto, inicijativa ima za cilj podržati uključivanje nedovoljno zastupljenih dionika (npr. mlađih stručnjaka i/ili stručnjakinja za biološku raznolikost i klimu) u sklopu budućih sličnih inicijativa. P</w:t>
      </w:r>
    </w:p>
    <w:p w14:paraId="7D82B87E" w14:textId="41E9A68C" w:rsidR="00EC2B56" w:rsidRDefault="00C44833" w:rsidP="00C44833">
      <w:pPr>
        <w:jc w:val="both"/>
        <w:rPr>
          <w:i/>
        </w:rPr>
      </w:pPr>
      <w:r w:rsidRPr="00C44833">
        <w:rPr>
          <w:i/>
        </w:rPr>
        <w:t>Važan cilj inicijative je i omogućiti osobni razvoj sudionicima inicijative kroz usvajanje profesionalnih vještina potrebnih za vođenje sličnih budućih inicijativa. Edukacija u svrhu profesionalnog razvoja sudionika WatNex incijative omogućena je posredovanjem EJWP programa (European Junior Water Programme).</w:t>
      </w:r>
    </w:p>
    <w:p w14:paraId="1707CA79" w14:textId="77777777" w:rsidR="00DC6707" w:rsidRDefault="00DC6707" w:rsidP="00C44833">
      <w:pPr>
        <w:jc w:val="both"/>
        <w:rPr>
          <w:i/>
        </w:rPr>
      </w:pPr>
    </w:p>
    <w:p w14:paraId="78D11848" w14:textId="77777777" w:rsidR="00DC6707" w:rsidRPr="00DC6707" w:rsidRDefault="00DC6707" w:rsidP="00DC6707">
      <w:pPr>
        <w:jc w:val="both"/>
        <w:rPr>
          <w:i/>
        </w:rPr>
      </w:pPr>
      <w:r w:rsidRPr="00DC6707">
        <w:rPr>
          <w:i/>
        </w:rPr>
        <w:t xml:space="preserve">Izračun financijskog plana: </w:t>
      </w:r>
    </w:p>
    <w:p w14:paraId="089D7985" w14:textId="19FFC389" w:rsidR="00DC6707" w:rsidRPr="00DC6707" w:rsidRDefault="00DC6707" w:rsidP="00DC6707">
      <w:pPr>
        <w:jc w:val="both"/>
        <w:rPr>
          <w:i/>
        </w:rPr>
      </w:pPr>
      <w:r w:rsidRPr="00DC6707">
        <w:rPr>
          <w:i/>
        </w:rPr>
        <w:t>Ugovorom o dodjeli bespovratnih sredstava sklopljenim između Prirodoslovno-matematičkog fakulteta Sveučilišta u Zagrebu i Ministarstva regionalnog razvoja i fondova EU za provedbu projekta Empowering the Water-Energy-Food Nexus by incorporating biodiversity and climate</w:t>
      </w:r>
      <w:r>
        <w:rPr>
          <w:i/>
        </w:rPr>
        <w:t xml:space="preserve"> </w:t>
      </w:r>
      <w:r w:rsidRPr="00DC6707">
        <w:rPr>
          <w:i/>
        </w:rPr>
        <w:t xml:space="preserve">awareness (WatNex), PMF su dodijeljena bespovratna sredstva u iznosu od </w:t>
      </w:r>
      <w:r w:rsidR="009C113A" w:rsidRPr="009C113A">
        <w:rPr>
          <w:i/>
        </w:rPr>
        <w:t>61.097,50 EUR</w:t>
      </w:r>
      <w:r w:rsidRPr="00DC6707">
        <w:rPr>
          <w:i/>
        </w:rPr>
        <w:t xml:space="preserve">. Projekt je sufinanciran sredstvima Norveškog financijskog mehanizma </w:t>
      </w:r>
      <w:r w:rsidR="009C113A" w:rsidRPr="009C113A">
        <w:rPr>
          <w:i/>
        </w:rPr>
        <w:t>za razdoblje od 2014. do 2021.</w:t>
      </w:r>
      <w:r w:rsidR="009C113A">
        <w:rPr>
          <w:i/>
        </w:rPr>
        <w:t xml:space="preserve"> </w:t>
      </w:r>
      <w:r w:rsidRPr="00DC6707">
        <w:rPr>
          <w:i/>
        </w:rPr>
        <w:t>u iznosu od 85% ukupnih prihvatljivih troškova, a obvezni udio nacionalnog sufinanciranja od 15% osigurat će se iz Državnog proračuna Republike Hrvatske.</w:t>
      </w:r>
    </w:p>
    <w:p w14:paraId="1C4BA46E" w14:textId="75DE9F5A" w:rsidR="00DC6707" w:rsidRPr="00DC6707" w:rsidRDefault="009C113A" w:rsidP="00DC6707">
      <w:pPr>
        <w:jc w:val="both"/>
        <w:rPr>
          <w:i/>
        </w:rPr>
      </w:pPr>
      <w:r w:rsidRPr="009C113A">
        <w:rPr>
          <w:i/>
        </w:rPr>
        <w:t>Faculty of Science and Technology Norwegian University of Life Sciences (NMBU)</w:t>
      </w:r>
      <w:r w:rsidR="00DC6707" w:rsidRPr="00DC6707">
        <w:rPr>
          <w:i/>
        </w:rPr>
        <w:t xml:space="preserve">, Norveška  kojem je planiran prijenos sredstava u iznosu od </w:t>
      </w:r>
      <w:r>
        <w:rPr>
          <w:i/>
        </w:rPr>
        <w:t>19.082,87</w:t>
      </w:r>
      <w:r w:rsidR="00DC6707" w:rsidRPr="00DC6707">
        <w:rPr>
          <w:i/>
        </w:rPr>
        <w:t xml:space="preserve"> EUR za provedbu projektnih aktivnosti u 2024. godini.</w:t>
      </w:r>
    </w:p>
    <w:p w14:paraId="613C1E49" w14:textId="1CEFE3E2" w:rsidR="00DC6707" w:rsidRDefault="00DC6707" w:rsidP="00DC6707">
      <w:pPr>
        <w:jc w:val="both"/>
        <w:rPr>
          <w:i/>
        </w:rPr>
      </w:pPr>
      <w:r w:rsidRPr="00DC6707">
        <w:rPr>
          <w:i/>
        </w:rPr>
        <w:t>Troškovi su planirani prema dinamici provedbe aktivnosti tijekom 2024. godine.</w:t>
      </w:r>
    </w:p>
    <w:p w14:paraId="510024C4" w14:textId="77777777" w:rsidR="00C44833" w:rsidRDefault="00C44833" w:rsidP="00C44833">
      <w:pPr>
        <w:jc w:val="both"/>
        <w:rPr>
          <w:i/>
        </w:rPr>
      </w:pPr>
    </w:p>
    <w:p w14:paraId="3EA89207" w14:textId="77777777" w:rsidR="00F32C01" w:rsidRPr="00E55335" w:rsidRDefault="00F32C01" w:rsidP="00C44833">
      <w:pPr>
        <w:jc w:val="both"/>
        <w:rPr>
          <w:i/>
        </w:rPr>
      </w:pPr>
    </w:p>
    <w:p w14:paraId="1DBD26D4" w14:textId="77777777" w:rsidR="001766FC" w:rsidRDefault="001766FC" w:rsidP="001766FC">
      <w:pPr>
        <w:pBdr>
          <w:top w:val="dotted" w:sz="4" w:space="1" w:color="808080" w:themeColor="background1" w:themeShade="80"/>
          <w:bottom w:val="dotted" w:sz="4" w:space="1" w:color="808080" w:themeColor="background1" w:themeShade="80"/>
        </w:pBdr>
        <w:shd w:val="clear" w:color="auto" w:fill="D0CECE" w:themeFill="background2" w:themeFillShade="E6"/>
        <w:jc w:val="both"/>
        <w:rPr>
          <w:b/>
          <w:sz w:val="28"/>
        </w:rPr>
      </w:pPr>
      <w:r>
        <w:rPr>
          <w:b/>
          <w:sz w:val="28"/>
        </w:rPr>
        <w:t>Nacionalni plan oporavka i otpornosti</w:t>
      </w:r>
    </w:p>
    <w:p w14:paraId="03DC4FFD" w14:textId="77777777" w:rsidR="00B669F0" w:rsidRDefault="00B669F0" w:rsidP="00B669F0">
      <w:pPr>
        <w:jc w:val="both"/>
        <w:rPr>
          <w:i/>
        </w:rPr>
      </w:pPr>
      <w:r>
        <w:rPr>
          <w:i/>
        </w:rPr>
        <w:t>Zakonske i druge pravne osnove</w:t>
      </w:r>
    </w:p>
    <w:p w14:paraId="2226F2A7" w14:textId="77777777" w:rsidR="00C156AB" w:rsidRPr="00C156AB" w:rsidRDefault="00C156AB" w:rsidP="00C156AB">
      <w:pPr>
        <w:pStyle w:val="ListParagraph"/>
        <w:numPr>
          <w:ilvl w:val="0"/>
          <w:numId w:val="22"/>
        </w:numPr>
        <w:rPr>
          <w:rFonts w:ascii="Times New Roman" w:hAnsi="Times New Roman" w:cs="Times New Roman"/>
          <w:sz w:val="24"/>
          <w:szCs w:val="24"/>
        </w:rPr>
      </w:pPr>
      <w:r w:rsidRPr="00C156AB">
        <w:rPr>
          <w:rFonts w:ascii="Times New Roman" w:hAnsi="Times New Roman" w:cs="Times New Roman"/>
          <w:sz w:val="24"/>
          <w:szCs w:val="24"/>
        </w:rPr>
        <w:t xml:space="preserve">Zakon o visokom obrazovanju i znanstvenoj djelatnosti (NN br. 119/2022) </w:t>
      </w:r>
    </w:p>
    <w:p w14:paraId="209DC62E" w14:textId="77777777" w:rsidR="00B669F0" w:rsidRDefault="00B669F0" w:rsidP="00B669F0">
      <w:pPr>
        <w:pStyle w:val="ListParagraph"/>
        <w:numPr>
          <w:ilvl w:val="0"/>
          <w:numId w:val="22"/>
        </w:numPr>
        <w:jc w:val="both"/>
        <w:rPr>
          <w:rFonts w:ascii="Times New Roman" w:hAnsi="Times New Roman" w:cs="Times New Roman"/>
          <w:sz w:val="24"/>
          <w:szCs w:val="24"/>
        </w:rPr>
      </w:pPr>
      <w:r w:rsidRPr="00805AB2">
        <w:rPr>
          <w:rFonts w:ascii="Times New Roman" w:hAnsi="Times New Roman" w:cs="Times New Roman"/>
          <w:sz w:val="24"/>
          <w:szCs w:val="24"/>
        </w:rPr>
        <w:t xml:space="preserve">Strategija razvoja Prirodoslovno-matematičkog fakulteta Sveučilišta u Zagrebu za razdoblje 2022. – 2027. (2022.) </w:t>
      </w:r>
    </w:p>
    <w:p w14:paraId="3FA70EC5" w14:textId="77777777" w:rsidR="001766FC" w:rsidRPr="001766FC" w:rsidRDefault="001766FC" w:rsidP="001766FC">
      <w:pPr>
        <w:pStyle w:val="ListParagraph"/>
        <w:numPr>
          <w:ilvl w:val="0"/>
          <w:numId w:val="22"/>
        </w:numPr>
        <w:jc w:val="both"/>
        <w:rPr>
          <w:rFonts w:ascii="Times New Roman" w:hAnsi="Times New Roman" w:cs="Times New Roman"/>
          <w:sz w:val="24"/>
          <w:szCs w:val="24"/>
        </w:rPr>
      </w:pPr>
      <w:r w:rsidRPr="001766FC">
        <w:rPr>
          <w:rFonts w:ascii="Times New Roman" w:hAnsi="Times New Roman" w:cs="Times New Roman"/>
          <w:sz w:val="24"/>
          <w:szCs w:val="24"/>
        </w:rPr>
        <w:t>Nacionalni plan oporavka i otpornosti 2021.-2026.</w:t>
      </w:r>
    </w:p>
    <w:p w14:paraId="58220199" w14:textId="565DFAA3" w:rsidR="001766FC" w:rsidRPr="001766FC" w:rsidRDefault="001766FC" w:rsidP="001766FC">
      <w:pPr>
        <w:pStyle w:val="ListParagraph"/>
        <w:numPr>
          <w:ilvl w:val="0"/>
          <w:numId w:val="22"/>
        </w:numPr>
        <w:jc w:val="both"/>
        <w:rPr>
          <w:rFonts w:ascii="Times New Roman" w:hAnsi="Times New Roman" w:cs="Times New Roman"/>
          <w:sz w:val="24"/>
          <w:szCs w:val="24"/>
        </w:rPr>
      </w:pPr>
      <w:r w:rsidRPr="001766FC">
        <w:rPr>
          <w:rFonts w:ascii="Times New Roman" w:hAnsi="Times New Roman" w:cs="Times New Roman"/>
          <w:sz w:val="24"/>
          <w:szCs w:val="24"/>
        </w:rPr>
        <w:t>Zakon o seizmološkim poslovima (NN 44/85)</w:t>
      </w:r>
    </w:p>
    <w:p w14:paraId="068EEB4B" w14:textId="2D1ADDD4" w:rsidR="00BC1205" w:rsidRDefault="00BC1205" w:rsidP="00BC1205">
      <w:pPr>
        <w:pStyle w:val="ListParagraph"/>
        <w:numPr>
          <w:ilvl w:val="0"/>
          <w:numId w:val="22"/>
        </w:numPr>
        <w:jc w:val="both"/>
        <w:rPr>
          <w:rFonts w:ascii="Times New Roman" w:hAnsi="Times New Roman" w:cs="Times New Roman"/>
          <w:sz w:val="24"/>
          <w:szCs w:val="24"/>
        </w:rPr>
      </w:pPr>
      <w:r w:rsidRPr="00BC1205">
        <w:rPr>
          <w:rFonts w:ascii="Times New Roman" w:hAnsi="Times New Roman" w:cs="Times New Roman"/>
          <w:sz w:val="24"/>
          <w:szCs w:val="24"/>
        </w:rPr>
        <w:t>Ugovor o funkcioniranju Europske unije (pročišćena verzija 2016/C 202/01)</w:t>
      </w:r>
    </w:p>
    <w:p w14:paraId="58EAC201" w14:textId="35587896" w:rsidR="00F66794" w:rsidRPr="00F66794" w:rsidRDefault="00F66794" w:rsidP="00F66794">
      <w:pPr>
        <w:pStyle w:val="ListParagraph"/>
        <w:numPr>
          <w:ilvl w:val="0"/>
          <w:numId w:val="22"/>
        </w:numPr>
        <w:jc w:val="both"/>
        <w:rPr>
          <w:rFonts w:ascii="Times New Roman" w:hAnsi="Times New Roman" w:cs="Times New Roman"/>
          <w:sz w:val="24"/>
          <w:szCs w:val="24"/>
        </w:rPr>
      </w:pPr>
      <w:r w:rsidRPr="00F66794">
        <w:rPr>
          <w:rFonts w:ascii="Times New Roman" w:hAnsi="Times New Roman" w:cs="Times New Roman"/>
          <w:sz w:val="24"/>
          <w:szCs w:val="24"/>
        </w:rPr>
        <w:t>Uredba (EU) br. 661/2014 Europskog parlamenta i vijeća od 15. svibnja 2014.o izmjeni Uredbe Vijeća (EZ) br. 2012/2002 o osnivanju Fonda solidarnosti Europske unije</w:t>
      </w:r>
    </w:p>
    <w:p w14:paraId="7ABCDDBC" w14:textId="7124A2A9" w:rsidR="00F66794" w:rsidRDefault="00F66794" w:rsidP="00F66794">
      <w:pPr>
        <w:pStyle w:val="ListParagraph"/>
        <w:numPr>
          <w:ilvl w:val="0"/>
          <w:numId w:val="22"/>
        </w:numPr>
        <w:jc w:val="both"/>
        <w:rPr>
          <w:rFonts w:ascii="Times New Roman" w:hAnsi="Times New Roman" w:cs="Times New Roman"/>
          <w:sz w:val="24"/>
          <w:szCs w:val="24"/>
        </w:rPr>
      </w:pPr>
      <w:r w:rsidRPr="00F66794">
        <w:rPr>
          <w:rFonts w:ascii="Times New Roman" w:hAnsi="Times New Roman" w:cs="Times New Roman"/>
          <w:sz w:val="24"/>
          <w:szCs w:val="24"/>
        </w:rPr>
        <w:t>Uredba (EU) 2020/461 Europskog parlamenta i vijeća od 30. ožujka 2020.o izmjeni Uredbe Vijeća (EZ) br. 2012/2002 radi pružanja financijske pomoći državama članicama i zemljama koje pregovaraju o pristupanju Uniji ozbiljno pogođenima izvanrednim stanjem velikih razmjera u području javnog zdravlja</w:t>
      </w:r>
    </w:p>
    <w:p w14:paraId="429BE0A6" w14:textId="39368C65" w:rsidR="00C156AB" w:rsidRPr="00BC1205" w:rsidRDefault="00C156AB" w:rsidP="00F66794">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 xml:space="preserve">Zakon o obnovi zgrada oštećenih potresom na </w:t>
      </w:r>
      <w:r w:rsidRPr="00C156AB">
        <w:rPr>
          <w:rFonts w:ascii="Times New Roman" w:hAnsi="Times New Roman" w:cs="Times New Roman"/>
          <w:sz w:val="24"/>
          <w:szCs w:val="24"/>
        </w:rPr>
        <w:t xml:space="preserve">području Grada Zagreba, Krapinsko-zagorske županije, Zagrebačke županije, Sisačko-moslavačke županije i Karlovačke županije </w:t>
      </w:r>
      <w:r>
        <w:rPr>
          <w:rFonts w:ascii="Times New Roman" w:hAnsi="Times New Roman" w:cs="Times New Roman"/>
          <w:sz w:val="24"/>
          <w:szCs w:val="24"/>
        </w:rPr>
        <w:t>NN br.</w:t>
      </w:r>
      <w:r w:rsidRPr="00C156AB">
        <w:rPr>
          <w:rFonts w:ascii="Times New Roman" w:hAnsi="Times New Roman" w:cs="Times New Roman"/>
          <w:sz w:val="24"/>
          <w:szCs w:val="24"/>
        </w:rPr>
        <w:t xml:space="preserve"> 21/23)</w:t>
      </w:r>
    </w:p>
    <w:p w14:paraId="58412F7A" w14:textId="011D471A" w:rsidR="00BC1205" w:rsidRPr="00BC1205" w:rsidRDefault="00BC1205" w:rsidP="00BC1205">
      <w:pPr>
        <w:pStyle w:val="ListParagraph"/>
        <w:numPr>
          <w:ilvl w:val="0"/>
          <w:numId w:val="22"/>
        </w:numPr>
        <w:jc w:val="both"/>
        <w:rPr>
          <w:rFonts w:ascii="Times New Roman" w:hAnsi="Times New Roman" w:cs="Times New Roman"/>
          <w:sz w:val="24"/>
          <w:szCs w:val="24"/>
        </w:rPr>
      </w:pPr>
      <w:r w:rsidRPr="00BC1205">
        <w:rPr>
          <w:rFonts w:ascii="Times New Roman" w:hAnsi="Times New Roman" w:cs="Times New Roman"/>
          <w:sz w:val="24"/>
          <w:szCs w:val="24"/>
        </w:rPr>
        <w:t xml:space="preserve">Odluka Vlade RH o donošenju Programa mjera obnove zgrada oštećenih potresom na području Grada Zagreba, Krapinsko-zagorske županije, Zagrebačke županije, Sisačko-moslavačke županije i Karlovačke županije </w:t>
      </w:r>
      <w:r w:rsidR="00C156AB" w:rsidRPr="00C156AB">
        <w:rPr>
          <w:rFonts w:ascii="Times New Roman" w:hAnsi="Times New Roman" w:cs="Times New Roman"/>
          <w:sz w:val="24"/>
          <w:szCs w:val="24"/>
        </w:rPr>
        <w:t>NN 28/2023</w:t>
      </w:r>
      <w:r w:rsidRPr="00BC1205">
        <w:rPr>
          <w:rFonts w:ascii="Times New Roman" w:hAnsi="Times New Roman" w:cs="Times New Roman"/>
          <w:sz w:val="24"/>
          <w:szCs w:val="24"/>
        </w:rPr>
        <w:t xml:space="preserve">); </w:t>
      </w:r>
    </w:p>
    <w:p w14:paraId="5178A6C4" w14:textId="56F5C1DB" w:rsidR="00B669F0" w:rsidRDefault="00B669F0" w:rsidP="00BC120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lastRenderedPageBreak/>
        <w:t>Ugovor</w:t>
      </w:r>
      <w:r w:rsidR="00F66794">
        <w:rPr>
          <w:rFonts w:ascii="Times New Roman" w:hAnsi="Times New Roman" w:cs="Times New Roman"/>
          <w:sz w:val="24"/>
          <w:szCs w:val="24"/>
        </w:rPr>
        <w:t>i</w:t>
      </w:r>
      <w:r>
        <w:rPr>
          <w:rFonts w:ascii="Times New Roman" w:hAnsi="Times New Roman" w:cs="Times New Roman"/>
          <w:sz w:val="24"/>
          <w:szCs w:val="24"/>
        </w:rPr>
        <w:t xml:space="preserve"> </w:t>
      </w:r>
      <w:r w:rsidRPr="00E65366">
        <w:rPr>
          <w:rFonts w:ascii="Times New Roman" w:hAnsi="Times New Roman" w:cs="Times New Roman"/>
          <w:sz w:val="24"/>
          <w:szCs w:val="24"/>
        </w:rPr>
        <w:t xml:space="preserve">o dodjeli bespovratnih sredstava između Prirodoslovno-matematičkog fakulteta Sveučilišta u Zagrebu i </w:t>
      </w:r>
      <w:r>
        <w:rPr>
          <w:rFonts w:ascii="Times New Roman" w:hAnsi="Times New Roman" w:cs="Times New Roman"/>
          <w:sz w:val="24"/>
          <w:szCs w:val="24"/>
        </w:rPr>
        <w:t xml:space="preserve">Ministarstva </w:t>
      </w:r>
      <w:r w:rsidR="00F66794">
        <w:rPr>
          <w:rFonts w:ascii="Times New Roman" w:hAnsi="Times New Roman" w:cs="Times New Roman"/>
          <w:sz w:val="24"/>
          <w:szCs w:val="24"/>
        </w:rPr>
        <w:t>znanosti i obrazovanja</w:t>
      </w:r>
    </w:p>
    <w:tbl>
      <w:tblPr>
        <w:tblStyle w:val="TableGrid"/>
        <w:tblW w:w="9067" w:type="dxa"/>
        <w:jc w:val="center"/>
        <w:tblLook w:val="04A0" w:firstRow="1" w:lastRow="0" w:firstColumn="1" w:lastColumn="0" w:noHBand="0" w:noVBand="1"/>
      </w:tblPr>
      <w:tblGrid>
        <w:gridCol w:w="2063"/>
        <w:gridCol w:w="1226"/>
        <w:gridCol w:w="1668"/>
        <w:gridCol w:w="1559"/>
        <w:gridCol w:w="1417"/>
        <w:gridCol w:w="1134"/>
      </w:tblGrid>
      <w:tr w:rsidR="001766FC" w14:paraId="6448460C" w14:textId="77777777" w:rsidTr="002D4AC2">
        <w:trPr>
          <w:jc w:val="center"/>
        </w:trPr>
        <w:tc>
          <w:tcPr>
            <w:tcW w:w="2063"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CA28326" w14:textId="77777777" w:rsidR="00B669F0" w:rsidRDefault="00B669F0" w:rsidP="00761DF0">
            <w:pPr>
              <w:jc w:val="both"/>
            </w:pPr>
          </w:p>
          <w:p w14:paraId="218E0965" w14:textId="77777777" w:rsidR="00B669F0" w:rsidRDefault="00B669F0" w:rsidP="00761DF0">
            <w:pPr>
              <w:jc w:val="both"/>
            </w:pPr>
          </w:p>
        </w:tc>
        <w:tc>
          <w:tcPr>
            <w:tcW w:w="122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10B3132" w14:textId="3C50B4AD" w:rsidR="00B669F0" w:rsidRDefault="00B669F0" w:rsidP="00761DF0">
            <w:pPr>
              <w:jc w:val="center"/>
            </w:pPr>
            <w:r>
              <w:t>Izvršenje 202</w:t>
            </w:r>
            <w:r w:rsidR="00F32C01">
              <w:t>3</w:t>
            </w:r>
            <w:r>
              <w:t>.</w:t>
            </w:r>
          </w:p>
        </w:tc>
        <w:tc>
          <w:tcPr>
            <w:tcW w:w="166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6B2C46" w14:textId="593B9262" w:rsidR="00B669F0" w:rsidRDefault="00B669F0" w:rsidP="00761DF0">
            <w:pPr>
              <w:jc w:val="center"/>
            </w:pPr>
            <w:r>
              <w:t>Plan 202</w:t>
            </w:r>
            <w:r w:rsidR="00C156AB">
              <w:t>4</w:t>
            </w:r>
            <w:r>
              <w:t>.</w:t>
            </w:r>
          </w:p>
        </w:tc>
        <w:tc>
          <w:tcPr>
            <w:tcW w:w="15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8E3C7D" w14:textId="0759B5CE" w:rsidR="00B669F0" w:rsidRDefault="00B669F0" w:rsidP="00761DF0">
            <w:pPr>
              <w:jc w:val="center"/>
            </w:pPr>
            <w:r>
              <w:t>Plan 202</w:t>
            </w:r>
            <w:r w:rsidR="00C156AB">
              <w:t>5</w:t>
            </w:r>
            <w:r>
              <w:t>.</w:t>
            </w:r>
          </w:p>
        </w:tc>
        <w:tc>
          <w:tcPr>
            <w:tcW w:w="141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B3770E" w14:textId="77777777" w:rsidR="00B669F0" w:rsidRDefault="00B669F0" w:rsidP="00761DF0">
            <w:pPr>
              <w:jc w:val="center"/>
            </w:pPr>
            <w:r>
              <w:t>Plan 2025.</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1EB206F" w14:textId="2BEFB465" w:rsidR="00B669F0" w:rsidRDefault="00B669F0" w:rsidP="00761DF0">
            <w:pPr>
              <w:jc w:val="center"/>
            </w:pPr>
            <w:r>
              <w:t>Indeks</w:t>
            </w:r>
          </w:p>
        </w:tc>
      </w:tr>
      <w:tr w:rsidR="002D4AC2" w14:paraId="043BDB62" w14:textId="77777777" w:rsidTr="002D4AC2">
        <w:trPr>
          <w:trHeight w:val="7251"/>
          <w:jc w:val="center"/>
        </w:trPr>
        <w:tc>
          <w:tcPr>
            <w:tcW w:w="2063" w:type="dxa"/>
            <w:tcBorders>
              <w:top w:val="single" w:sz="4" w:space="0" w:color="auto"/>
              <w:left w:val="single" w:sz="4" w:space="0" w:color="auto"/>
              <w:right w:val="single" w:sz="4" w:space="0" w:color="auto"/>
            </w:tcBorders>
            <w:hideMark/>
          </w:tcPr>
          <w:p w14:paraId="5ECBD312" w14:textId="77777777" w:rsidR="002D4AC2" w:rsidRDefault="002D4AC2" w:rsidP="00CD2A78">
            <w:r>
              <w:t>FSEU.2021.MZO.019</w:t>
            </w:r>
          </w:p>
          <w:p w14:paraId="3E69AAF5" w14:textId="77777777" w:rsidR="002D4AC2" w:rsidRDefault="002D4AC2" w:rsidP="00CD2A78">
            <w:r>
              <w:t>PMF - Biološki odsjek, Rooseveltov trg 6 - Program provedbe mjera cjelovite obnove infrastrukture i opreme oštećene potresom</w:t>
            </w:r>
          </w:p>
          <w:p w14:paraId="76D05F94" w14:textId="77777777" w:rsidR="002D4AC2" w:rsidRDefault="002D4AC2" w:rsidP="00A65E65">
            <w:bookmarkStart w:id="5" w:name="_Hlk115640844"/>
            <w:r>
              <w:t>FSEU.2021.MZO.036</w:t>
            </w:r>
          </w:p>
          <w:p w14:paraId="32EFA428" w14:textId="77777777" w:rsidR="002D4AC2" w:rsidRDefault="002D4AC2" w:rsidP="00A65E65">
            <w:r>
              <w:t>PMF - BIOLOSKI ODSJEK, Marulićev trg 20 - PROGRAM PROVEDBE MJERA</w:t>
            </w:r>
          </w:p>
          <w:p w14:paraId="2E7961E2" w14:textId="77777777" w:rsidR="002D4AC2" w:rsidRDefault="002D4AC2" w:rsidP="00A65E65">
            <w:r>
              <w:t>CJELOVITE OBNOVE INFRASTRUKTURE I OPREME OSTECENE POTRESOM</w:t>
            </w:r>
          </w:p>
          <w:p w14:paraId="43B420C9" w14:textId="01ACDC4B" w:rsidR="002D4AC2" w:rsidRDefault="002D4AC2" w:rsidP="001C7774">
            <w:bookmarkStart w:id="6" w:name="_Hlk115641811"/>
            <w:bookmarkEnd w:id="5"/>
            <w:r w:rsidRPr="001C7774">
              <w:t>FSEU.2021.MZO.034</w:t>
            </w:r>
            <w:r>
              <w:t xml:space="preserve"> PMF-BIOLOŠKI ODSJEK, Marulićev trg 9a - Program provedbe mjera cjelovite obnove infrastrukture i opreme oštećene potresom</w:t>
            </w:r>
            <w:bookmarkEnd w:id="6"/>
          </w:p>
        </w:tc>
        <w:tc>
          <w:tcPr>
            <w:tcW w:w="1226" w:type="dxa"/>
            <w:tcBorders>
              <w:top w:val="single" w:sz="4" w:space="0" w:color="auto"/>
              <w:left w:val="single" w:sz="4" w:space="0" w:color="auto"/>
              <w:right w:val="single" w:sz="4" w:space="0" w:color="auto"/>
            </w:tcBorders>
          </w:tcPr>
          <w:p w14:paraId="705AA478" w14:textId="77777777" w:rsidR="002D4AC2" w:rsidRDefault="002D4AC2" w:rsidP="002D4AC2"/>
        </w:tc>
        <w:tc>
          <w:tcPr>
            <w:tcW w:w="1668" w:type="dxa"/>
            <w:tcBorders>
              <w:top w:val="single" w:sz="4" w:space="0" w:color="auto"/>
              <w:left w:val="single" w:sz="4" w:space="0" w:color="auto"/>
              <w:right w:val="single" w:sz="4" w:space="0" w:color="auto"/>
            </w:tcBorders>
            <w:vAlign w:val="center"/>
          </w:tcPr>
          <w:p w14:paraId="0201FC1B" w14:textId="6732E83A" w:rsidR="002D4AC2" w:rsidRDefault="002D4AC2" w:rsidP="002D4AC2">
            <w:r>
              <w:t>977.310 EUR</w:t>
            </w:r>
          </w:p>
          <w:p w14:paraId="60648D8C" w14:textId="57E6297D" w:rsidR="002D4AC2" w:rsidRPr="002D4AC2" w:rsidRDefault="002D4AC2" w:rsidP="002D4AC2">
            <w:r>
              <w:t>5.685.589 EUR</w:t>
            </w:r>
          </w:p>
        </w:tc>
        <w:tc>
          <w:tcPr>
            <w:tcW w:w="1559" w:type="dxa"/>
            <w:tcBorders>
              <w:top w:val="single" w:sz="4" w:space="0" w:color="auto"/>
              <w:left w:val="single" w:sz="4" w:space="0" w:color="auto"/>
              <w:right w:val="single" w:sz="4" w:space="0" w:color="auto"/>
            </w:tcBorders>
            <w:vAlign w:val="center"/>
            <w:hideMark/>
          </w:tcPr>
          <w:p w14:paraId="30D329DA" w14:textId="62B76C99" w:rsidR="002D4AC2" w:rsidRDefault="002D4AC2" w:rsidP="002D4AC2">
            <w:r>
              <w:t>6.396.637 EUR</w:t>
            </w:r>
          </w:p>
          <w:p w14:paraId="0C971ABD" w14:textId="0A6B2995" w:rsidR="002D4AC2" w:rsidRDefault="002D4AC2" w:rsidP="002D4AC2">
            <w:r>
              <w:t>5.050.016 EUR</w:t>
            </w:r>
          </w:p>
        </w:tc>
        <w:tc>
          <w:tcPr>
            <w:tcW w:w="1417" w:type="dxa"/>
            <w:tcBorders>
              <w:top w:val="single" w:sz="4" w:space="0" w:color="auto"/>
              <w:left w:val="single" w:sz="4" w:space="0" w:color="auto"/>
              <w:right w:val="single" w:sz="4" w:space="0" w:color="auto"/>
            </w:tcBorders>
            <w:vAlign w:val="center"/>
            <w:hideMark/>
          </w:tcPr>
          <w:p w14:paraId="15BB8566" w14:textId="77777777" w:rsidR="00B502E5" w:rsidRDefault="00B502E5" w:rsidP="002D4AC2"/>
          <w:p w14:paraId="22851348" w14:textId="2F8ED62F" w:rsidR="002D4AC2" w:rsidRDefault="002D4AC2" w:rsidP="002D4AC2">
            <w:r>
              <w:t>819.327 EUR</w:t>
            </w:r>
          </w:p>
          <w:p w14:paraId="7F8761E0" w14:textId="77777777" w:rsidR="002D4AC2" w:rsidRDefault="002D4AC2" w:rsidP="002D4AC2">
            <w:r>
              <w:t>941.437 EUR</w:t>
            </w:r>
          </w:p>
          <w:p w14:paraId="1BE98733" w14:textId="3FEEAADB" w:rsidR="002D4AC2" w:rsidRDefault="002D4AC2" w:rsidP="002D4AC2"/>
        </w:tc>
        <w:tc>
          <w:tcPr>
            <w:tcW w:w="1134" w:type="dxa"/>
            <w:tcBorders>
              <w:top w:val="single" w:sz="4" w:space="0" w:color="auto"/>
              <w:left w:val="single" w:sz="4" w:space="0" w:color="auto"/>
              <w:right w:val="single" w:sz="4" w:space="0" w:color="auto"/>
            </w:tcBorders>
          </w:tcPr>
          <w:p w14:paraId="68F46E64" w14:textId="77777777" w:rsidR="002D4AC2" w:rsidRDefault="002D4AC2" w:rsidP="002D4AC2"/>
        </w:tc>
      </w:tr>
      <w:tr w:rsidR="001766FC" w14:paraId="54873640" w14:textId="77777777" w:rsidTr="00B502E5">
        <w:trPr>
          <w:jc w:val="center"/>
        </w:trPr>
        <w:tc>
          <w:tcPr>
            <w:tcW w:w="2063" w:type="dxa"/>
            <w:tcBorders>
              <w:top w:val="single" w:sz="4" w:space="0" w:color="auto"/>
              <w:left w:val="single" w:sz="4" w:space="0" w:color="auto"/>
              <w:bottom w:val="single" w:sz="4" w:space="0" w:color="auto"/>
              <w:right w:val="single" w:sz="4" w:space="0" w:color="auto"/>
            </w:tcBorders>
          </w:tcPr>
          <w:p w14:paraId="3CEED1E2" w14:textId="341E9F74" w:rsidR="001766FC" w:rsidRPr="001C7774" w:rsidRDefault="001766FC" w:rsidP="001C7774">
            <w:r w:rsidRPr="001766FC">
              <w:t>C6.</w:t>
            </w:r>
            <w:r>
              <w:t>1</w:t>
            </w:r>
            <w:r w:rsidRPr="001766FC">
              <w:t>. R4-I</w:t>
            </w:r>
            <w:r>
              <w:t>1</w:t>
            </w:r>
            <w:r w:rsidRPr="001766FC">
              <w:t>.01</w:t>
            </w:r>
            <w:r>
              <w:t xml:space="preserve"> Razvoj mreže seizmoloških podataka</w:t>
            </w:r>
          </w:p>
        </w:tc>
        <w:tc>
          <w:tcPr>
            <w:tcW w:w="1226" w:type="dxa"/>
            <w:tcBorders>
              <w:top w:val="single" w:sz="4" w:space="0" w:color="auto"/>
              <w:left w:val="single" w:sz="4" w:space="0" w:color="auto"/>
              <w:bottom w:val="single" w:sz="4" w:space="0" w:color="auto"/>
              <w:right w:val="single" w:sz="4" w:space="0" w:color="auto"/>
            </w:tcBorders>
          </w:tcPr>
          <w:p w14:paraId="30F69DF9" w14:textId="77777777" w:rsidR="001766FC" w:rsidRDefault="001766FC" w:rsidP="001C7774">
            <w:pPr>
              <w:jc w:val="both"/>
            </w:pPr>
          </w:p>
        </w:tc>
        <w:tc>
          <w:tcPr>
            <w:tcW w:w="1668" w:type="dxa"/>
            <w:tcBorders>
              <w:top w:val="single" w:sz="4" w:space="0" w:color="auto"/>
              <w:left w:val="single" w:sz="4" w:space="0" w:color="auto"/>
              <w:bottom w:val="single" w:sz="4" w:space="0" w:color="auto"/>
              <w:right w:val="single" w:sz="4" w:space="0" w:color="auto"/>
            </w:tcBorders>
            <w:vAlign w:val="center"/>
          </w:tcPr>
          <w:p w14:paraId="00172F41" w14:textId="33D87895" w:rsidR="001766FC" w:rsidRPr="00C156AB" w:rsidRDefault="00AB3712" w:rsidP="001C7774">
            <w:pPr>
              <w:jc w:val="both"/>
            </w:pPr>
            <w:r>
              <w:t>5.076.376</w:t>
            </w:r>
            <w:r w:rsidR="001766FC">
              <w:t xml:space="preserve"> EUR</w:t>
            </w:r>
          </w:p>
        </w:tc>
        <w:tc>
          <w:tcPr>
            <w:tcW w:w="1559" w:type="dxa"/>
            <w:tcBorders>
              <w:top w:val="single" w:sz="4" w:space="0" w:color="auto"/>
              <w:left w:val="single" w:sz="4" w:space="0" w:color="auto"/>
              <w:bottom w:val="single" w:sz="4" w:space="0" w:color="auto"/>
              <w:right w:val="single" w:sz="4" w:space="0" w:color="auto"/>
            </w:tcBorders>
            <w:vAlign w:val="center"/>
          </w:tcPr>
          <w:p w14:paraId="147C8345" w14:textId="455632D3" w:rsidR="001766FC" w:rsidRDefault="001766FC" w:rsidP="001C7774">
            <w:pPr>
              <w:jc w:val="both"/>
            </w:pPr>
            <w:r w:rsidRPr="001766FC">
              <w:t>1.</w:t>
            </w:r>
            <w:r w:rsidR="00AB3712">
              <w:t>849.934</w:t>
            </w:r>
            <w:r>
              <w:t xml:space="preserve"> EUR</w:t>
            </w:r>
          </w:p>
        </w:tc>
        <w:tc>
          <w:tcPr>
            <w:tcW w:w="1417" w:type="dxa"/>
            <w:tcBorders>
              <w:top w:val="single" w:sz="4" w:space="0" w:color="auto"/>
              <w:left w:val="single" w:sz="4" w:space="0" w:color="auto"/>
              <w:bottom w:val="single" w:sz="4" w:space="0" w:color="auto"/>
              <w:right w:val="single" w:sz="4" w:space="0" w:color="auto"/>
            </w:tcBorders>
            <w:vAlign w:val="center"/>
          </w:tcPr>
          <w:p w14:paraId="07C49974" w14:textId="12263D60" w:rsidR="001766FC" w:rsidRDefault="00AB3712" w:rsidP="001C7774">
            <w:pPr>
              <w:jc w:val="both"/>
            </w:pPr>
            <w:r>
              <w:t>523.141</w:t>
            </w:r>
            <w:r w:rsidR="001766FC">
              <w:t xml:space="preserve"> EUR</w:t>
            </w:r>
          </w:p>
        </w:tc>
        <w:tc>
          <w:tcPr>
            <w:tcW w:w="1134" w:type="dxa"/>
            <w:tcBorders>
              <w:top w:val="single" w:sz="4" w:space="0" w:color="auto"/>
              <w:left w:val="single" w:sz="4" w:space="0" w:color="auto"/>
              <w:bottom w:val="single" w:sz="4" w:space="0" w:color="auto"/>
              <w:right w:val="single" w:sz="4" w:space="0" w:color="auto"/>
            </w:tcBorders>
          </w:tcPr>
          <w:p w14:paraId="1C3FBECB" w14:textId="77777777" w:rsidR="001766FC" w:rsidRDefault="001766FC" w:rsidP="001C7774">
            <w:pPr>
              <w:jc w:val="both"/>
            </w:pPr>
          </w:p>
        </w:tc>
      </w:tr>
      <w:tr w:rsidR="001766FC" w14:paraId="6DF33FA1" w14:textId="77777777" w:rsidTr="002D4AC2">
        <w:trPr>
          <w:jc w:val="center"/>
        </w:trPr>
        <w:tc>
          <w:tcPr>
            <w:tcW w:w="2063" w:type="dxa"/>
            <w:tcBorders>
              <w:top w:val="single" w:sz="4" w:space="0" w:color="auto"/>
              <w:left w:val="single" w:sz="4" w:space="0" w:color="auto"/>
              <w:bottom w:val="single" w:sz="4" w:space="0" w:color="auto"/>
              <w:right w:val="single" w:sz="4" w:space="0" w:color="auto"/>
            </w:tcBorders>
          </w:tcPr>
          <w:p w14:paraId="3345F0B4" w14:textId="0CE2879F" w:rsidR="001766FC" w:rsidRDefault="001766FC" w:rsidP="001766FC">
            <w:bookmarkStart w:id="7" w:name="_Hlk147409424"/>
            <w:r>
              <w:t xml:space="preserve">C6.1. R4 </w:t>
            </w:r>
          </w:p>
          <w:p w14:paraId="69186C5E" w14:textId="00D820D6" w:rsidR="001766FC" w:rsidRPr="001C7774" w:rsidRDefault="001766FC" w:rsidP="001766FC">
            <w:r>
              <w:t>Modernizacija i integracija seizmičkih podataka za proces obnove i planiranje buduće gradnje te monitoring javne infrastrukture</w:t>
            </w:r>
            <w:bookmarkEnd w:id="7"/>
          </w:p>
        </w:tc>
        <w:tc>
          <w:tcPr>
            <w:tcW w:w="1226" w:type="dxa"/>
            <w:tcBorders>
              <w:top w:val="single" w:sz="4" w:space="0" w:color="auto"/>
              <w:left w:val="single" w:sz="4" w:space="0" w:color="auto"/>
              <w:bottom w:val="single" w:sz="4" w:space="0" w:color="auto"/>
              <w:right w:val="single" w:sz="4" w:space="0" w:color="auto"/>
            </w:tcBorders>
          </w:tcPr>
          <w:p w14:paraId="690237AD" w14:textId="77777777" w:rsidR="001766FC" w:rsidRDefault="001766FC" w:rsidP="001C7774">
            <w:pPr>
              <w:jc w:val="both"/>
            </w:pPr>
          </w:p>
        </w:tc>
        <w:tc>
          <w:tcPr>
            <w:tcW w:w="1668" w:type="dxa"/>
            <w:tcBorders>
              <w:top w:val="single" w:sz="4" w:space="0" w:color="auto"/>
              <w:left w:val="single" w:sz="4" w:space="0" w:color="auto"/>
              <w:bottom w:val="single" w:sz="4" w:space="0" w:color="auto"/>
              <w:right w:val="single" w:sz="4" w:space="0" w:color="auto"/>
            </w:tcBorders>
          </w:tcPr>
          <w:p w14:paraId="151EC669" w14:textId="378C073F" w:rsidR="001766FC" w:rsidRPr="00C156AB" w:rsidRDefault="001766FC" w:rsidP="001C7774">
            <w:pPr>
              <w:jc w:val="both"/>
            </w:pPr>
            <w:r w:rsidRPr="00B502E5">
              <w:t>80.000 EUR</w:t>
            </w:r>
          </w:p>
        </w:tc>
        <w:tc>
          <w:tcPr>
            <w:tcW w:w="1559" w:type="dxa"/>
            <w:tcBorders>
              <w:top w:val="single" w:sz="4" w:space="0" w:color="auto"/>
              <w:left w:val="single" w:sz="4" w:space="0" w:color="auto"/>
              <w:bottom w:val="single" w:sz="4" w:space="0" w:color="auto"/>
              <w:right w:val="single" w:sz="4" w:space="0" w:color="auto"/>
            </w:tcBorders>
          </w:tcPr>
          <w:p w14:paraId="58AE6676" w14:textId="11FED0A2" w:rsidR="001766FC" w:rsidRDefault="001766FC" w:rsidP="001C7774">
            <w:pPr>
              <w:jc w:val="both"/>
            </w:pPr>
            <w:r>
              <w:t>-</w:t>
            </w:r>
          </w:p>
        </w:tc>
        <w:tc>
          <w:tcPr>
            <w:tcW w:w="1417" w:type="dxa"/>
            <w:tcBorders>
              <w:top w:val="single" w:sz="4" w:space="0" w:color="auto"/>
              <w:left w:val="single" w:sz="4" w:space="0" w:color="auto"/>
              <w:bottom w:val="single" w:sz="4" w:space="0" w:color="auto"/>
              <w:right w:val="single" w:sz="4" w:space="0" w:color="auto"/>
            </w:tcBorders>
          </w:tcPr>
          <w:p w14:paraId="359D9F2D" w14:textId="77969B09" w:rsidR="001766FC" w:rsidRDefault="001766FC" w:rsidP="001C7774">
            <w:pPr>
              <w:jc w:val="both"/>
            </w:pPr>
            <w:r>
              <w:t>-</w:t>
            </w:r>
          </w:p>
        </w:tc>
        <w:tc>
          <w:tcPr>
            <w:tcW w:w="1134" w:type="dxa"/>
            <w:tcBorders>
              <w:top w:val="single" w:sz="4" w:space="0" w:color="auto"/>
              <w:left w:val="single" w:sz="4" w:space="0" w:color="auto"/>
              <w:bottom w:val="single" w:sz="4" w:space="0" w:color="auto"/>
              <w:right w:val="single" w:sz="4" w:space="0" w:color="auto"/>
            </w:tcBorders>
          </w:tcPr>
          <w:p w14:paraId="7AF040CF" w14:textId="77777777" w:rsidR="001766FC" w:rsidRDefault="001766FC" w:rsidP="001C7774">
            <w:pPr>
              <w:jc w:val="both"/>
            </w:pPr>
          </w:p>
        </w:tc>
      </w:tr>
    </w:tbl>
    <w:p w14:paraId="075BE50B" w14:textId="77777777" w:rsidR="00B669F0" w:rsidRDefault="00B669F0" w:rsidP="00B669F0">
      <w:pPr>
        <w:spacing w:after="0"/>
        <w:jc w:val="both"/>
        <w:rPr>
          <w:i/>
        </w:rPr>
      </w:pPr>
    </w:p>
    <w:p w14:paraId="6B6E9170" w14:textId="77777777" w:rsidR="00B669F0" w:rsidRDefault="00B669F0" w:rsidP="00B669F0">
      <w:pPr>
        <w:spacing w:after="0"/>
        <w:jc w:val="both"/>
        <w:rPr>
          <w:i/>
        </w:rPr>
      </w:pPr>
    </w:p>
    <w:p w14:paraId="04F51C6F" w14:textId="23711BB5" w:rsidR="00923C33" w:rsidRPr="00423FC8" w:rsidRDefault="00423FC8" w:rsidP="00423FC8">
      <w:pPr>
        <w:spacing w:after="0"/>
        <w:jc w:val="both"/>
        <w:rPr>
          <w:b/>
          <w:i/>
        </w:rPr>
      </w:pPr>
      <w:bookmarkStart w:id="8" w:name="_Hlk115638463"/>
      <w:r w:rsidRPr="00423FC8">
        <w:rPr>
          <w:b/>
          <w:i/>
        </w:rPr>
        <w:t>FSEU.2021.MZO.019</w:t>
      </w:r>
      <w:r>
        <w:rPr>
          <w:b/>
          <w:i/>
        </w:rPr>
        <w:t xml:space="preserve"> - </w:t>
      </w:r>
      <w:r w:rsidRPr="00423FC8">
        <w:rPr>
          <w:b/>
          <w:i/>
        </w:rPr>
        <w:t>PMF - Biološki odsjek, Rooseveltov trg 6 - Program provedbe mjera cjelovite obnove infrastrukture i opreme oštećene potresom</w:t>
      </w:r>
    </w:p>
    <w:p w14:paraId="08B612CA" w14:textId="77777777" w:rsidR="00B669F0" w:rsidRDefault="00B669F0" w:rsidP="00B669F0">
      <w:pPr>
        <w:spacing w:after="0"/>
        <w:jc w:val="both"/>
        <w:rPr>
          <w:b/>
          <w:i/>
        </w:rPr>
      </w:pPr>
    </w:p>
    <w:p w14:paraId="45872280" w14:textId="3D8A6418" w:rsidR="00423FC8" w:rsidRDefault="00423FC8" w:rsidP="00B669F0">
      <w:pPr>
        <w:spacing w:after="0"/>
        <w:jc w:val="both"/>
        <w:rPr>
          <w:i/>
        </w:rPr>
      </w:pPr>
      <w:r>
        <w:rPr>
          <w:i/>
        </w:rPr>
        <w:t>Operacija se sastoji od</w:t>
      </w:r>
      <w:r w:rsidR="001F2B5D">
        <w:rPr>
          <w:i/>
        </w:rPr>
        <w:t xml:space="preserve"> 4 grupe</w:t>
      </w:r>
      <w:r>
        <w:rPr>
          <w:i/>
        </w:rPr>
        <w:t>:</w:t>
      </w:r>
    </w:p>
    <w:p w14:paraId="70069670" w14:textId="747B16B5" w:rsidR="00423FC8" w:rsidRDefault="00423FC8" w:rsidP="00423FC8">
      <w:pPr>
        <w:pStyle w:val="ListParagraph"/>
        <w:numPr>
          <w:ilvl w:val="0"/>
          <w:numId w:val="22"/>
        </w:numPr>
        <w:spacing w:after="0"/>
        <w:jc w:val="both"/>
        <w:rPr>
          <w:i/>
        </w:rPr>
      </w:pPr>
      <w:r>
        <w:rPr>
          <w:i/>
        </w:rPr>
        <w:lastRenderedPageBreak/>
        <w:t xml:space="preserve">Grupa 1. – hitne </w:t>
      </w:r>
      <w:r w:rsidR="00CD2A78">
        <w:rPr>
          <w:i/>
        </w:rPr>
        <w:t>mjere sanacije</w:t>
      </w:r>
    </w:p>
    <w:p w14:paraId="5803EA38" w14:textId="5012DFB6" w:rsidR="00423FC8" w:rsidRDefault="00423FC8" w:rsidP="00423FC8">
      <w:pPr>
        <w:pStyle w:val="ListParagraph"/>
        <w:numPr>
          <w:ilvl w:val="0"/>
          <w:numId w:val="22"/>
        </w:numPr>
        <w:spacing w:after="0"/>
        <w:jc w:val="both"/>
        <w:rPr>
          <w:i/>
        </w:rPr>
      </w:pPr>
      <w:r>
        <w:rPr>
          <w:i/>
        </w:rPr>
        <w:t xml:space="preserve">Grupa 2. </w:t>
      </w:r>
      <w:r w:rsidR="00CD2A78">
        <w:rPr>
          <w:i/>
        </w:rPr>
        <w:t>–</w:t>
      </w:r>
      <w:r>
        <w:rPr>
          <w:i/>
        </w:rPr>
        <w:t xml:space="preserve"> </w:t>
      </w:r>
      <w:r w:rsidR="00CD2A78">
        <w:rPr>
          <w:i/>
        </w:rPr>
        <w:t>priprema projektne i tehničke dokumentacije cjelovite obnove</w:t>
      </w:r>
    </w:p>
    <w:p w14:paraId="22F29A36" w14:textId="315D9877" w:rsidR="00CD2A78" w:rsidRDefault="00CD2A78" w:rsidP="00423FC8">
      <w:pPr>
        <w:pStyle w:val="ListParagraph"/>
        <w:numPr>
          <w:ilvl w:val="0"/>
          <w:numId w:val="22"/>
        </w:numPr>
        <w:spacing w:after="0"/>
        <w:jc w:val="both"/>
        <w:rPr>
          <w:i/>
        </w:rPr>
      </w:pPr>
      <w:r>
        <w:rPr>
          <w:i/>
        </w:rPr>
        <w:t>Grupa 3. – Izvedba radova</w:t>
      </w:r>
    </w:p>
    <w:p w14:paraId="6EAEE32C" w14:textId="76CE0985" w:rsidR="00CD2A78" w:rsidRDefault="00CD2A78" w:rsidP="00423FC8">
      <w:pPr>
        <w:pStyle w:val="ListParagraph"/>
        <w:numPr>
          <w:ilvl w:val="0"/>
          <w:numId w:val="22"/>
        </w:numPr>
        <w:spacing w:after="0"/>
        <w:jc w:val="both"/>
        <w:rPr>
          <w:i/>
        </w:rPr>
      </w:pPr>
      <w:r>
        <w:rPr>
          <w:i/>
        </w:rPr>
        <w:t>Grupa 5. – upravljanje projektom i administracija</w:t>
      </w:r>
    </w:p>
    <w:p w14:paraId="2D5AA6D5" w14:textId="77777777" w:rsidR="00CD2A78" w:rsidRPr="00423FC8" w:rsidRDefault="00CD2A78" w:rsidP="00CD2A78">
      <w:pPr>
        <w:pStyle w:val="ListParagraph"/>
        <w:spacing w:after="0"/>
        <w:jc w:val="both"/>
        <w:rPr>
          <w:i/>
        </w:rPr>
      </w:pPr>
    </w:p>
    <w:p w14:paraId="2813A187" w14:textId="6C4361AA" w:rsidR="00B669F0" w:rsidRPr="00524858" w:rsidRDefault="00B669F0" w:rsidP="00B669F0">
      <w:pPr>
        <w:spacing w:after="0"/>
        <w:jc w:val="both"/>
        <w:rPr>
          <w:i/>
        </w:rPr>
      </w:pPr>
      <w:r w:rsidRPr="009D005B">
        <w:rPr>
          <w:i/>
        </w:rPr>
        <w:t xml:space="preserve">Provedba ove </w:t>
      </w:r>
      <w:r w:rsidR="00423FC8">
        <w:rPr>
          <w:i/>
        </w:rPr>
        <w:t xml:space="preserve">operacije </w:t>
      </w:r>
      <w:r w:rsidRPr="009D005B">
        <w:rPr>
          <w:i/>
        </w:rPr>
        <w:t>započela je 20</w:t>
      </w:r>
      <w:r>
        <w:rPr>
          <w:i/>
        </w:rPr>
        <w:t>22.</w:t>
      </w:r>
      <w:r w:rsidRPr="009D005B">
        <w:rPr>
          <w:i/>
        </w:rPr>
        <w:t xml:space="preserve"> godine. </w:t>
      </w:r>
    </w:p>
    <w:p w14:paraId="142883CC" w14:textId="77777777" w:rsidR="00B669F0" w:rsidRPr="00524858" w:rsidRDefault="00B669F0" w:rsidP="00B669F0">
      <w:pPr>
        <w:spacing w:after="0"/>
        <w:jc w:val="both"/>
        <w:rPr>
          <w:i/>
        </w:rPr>
      </w:pPr>
    </w:p>
    <w:p w14:paraId="634B2DDF" w14:textId="431A999D" w:rsidR="00B669F0" w:rsidRDefault="00423FC8" w:rsidP="00423FC8">
      <w:pPr>
        <w:spacing w:after="0"/>
        <w:jc w:val="both"/>
        <w:rPr>
          <w:i/>
        </w:rPr>
      </w:pPr>
      <w:r w:rsidRPr="00423FC8">
        <w:rPr>
          <w:i/>
        </w:rPr>
        <w:t>Svrha operacije je priprema projektno-tehničke dokumentacije za izvođenje radova cjelovite obnove</w:t>
      </w:r>
      <w:r>
        <w:rPr>
          <w:i/>
        </w:rPr>
        <w:t xml:space="preserve"> </w:t>
      </w:r>
      <w:r w:rsidRPr="00423FC8">
        <w:rPr>
          <w:i/>
        </w:rPr>
        <w:t>zgrade PMF- Biološki odsjek na Rooseveltovom trgu 6 u Zagrebu, kao posljedica potresa 22.3.2020. godine i</w:t>
      </w:r>
      <w:r>
        <w:rPr>
          <w:i/>
        </w:rPr>
        <w:t xml:space="preserve"> </w:t>
      </w:r>
      <w:r w:rsidRPr="00423FC8">
        <w:rPr>
          <w:i/>
        </w:rPr>
        <w:t>nadoknada sredstava do sada utrošenih na hitne mjere sanacije. Zgradu na Rooseveltovom trgu 6, znatno</w:t>
      </w:r>
      <w:r>
        <w:rPr>
          <w:i/>
        </w:rPr>
        <w:t xml:space="preserve"> </w:t>
      </w:r>
      <w:r w:rsidRPr="00423FC8">
        <w:rPr>
          <w:i/>
        </w:rPr>
        <w:t>oštećenu potresom, potrebno je obnoviti i cjelovito rekonstruirati u dva koraka. Prvi korak je dovođenje svih</w:t>
      </w:r>
      <w:r>
        <w:rPr>
          <w:i/>
        </w:rPr>
        <w:t xml:space="preserve"> </w:t>
      </w:r>
      <w:r w:rsidRPr="00423FC8">
        <w:rPr>
          <w:i/>
        </w:rPr>
        <w:t>dijelova zgrade u radno stanje kakvo je imala prije potresa, a drugi korak je cjelovita obnova zgrade pojačanjem</w:t>
      </w:r>
      <w:r>
        <w:rPr>
          <w:i/>
        </w:rPr>
        <w:t xml:space="preserve"> </w:t>
      </w:r>
      <w:r w:rsidRPr="00423FC8">
        <w:rPr>
          <w:i/>
        </w:rPr>
        <w:t>konstrukcije, funkcionalnim promjenama prostora s ciljem unapređenja rada u znanstveno-nastavnim</w:t>
      </w:r>
      <w:r>
        <w:rPr>
          <w:i/>
        </w:rPr>
        <w:t xml:space="preserve"> </w:t>
      </w:r>
      <w:r w:rsidRPr="00423FC8">
        <w:rPr>
          <w:i/>
        </w:rPr>
        <w:t>laboratorijima i drugim znanstveno-nastavnim prostorima zgrade, osiguravanjem dostupnosti prostora osobama</w:t>
      </w:r>
      <w:r>
        <w:rPr>
          <w:i/>
        </w:rPr>
        <w:t xml:space="preserve"> </w:t>
      </w:r>
      <w:r w:rsidRPr="00423FC8">
        <w:rPr>
          <w:i/>
        </w:rPr>
        <w:t>s poteškoćama u kretanju gdje je to tehnički moguće te rješavanjem pitanja protupožarne zaštite i energetske</w:t>
      </w:r>
      <w:r>
        <w:rPr>
          <w:i/>
        </w:rPr>
        <w:t xml:space="preserve"> </w:t>
      </w:r>
      <w:r w:rsidRPr="00423FC8">
        <w:rPr>
          <w:i/>
        </w:rPr>
        <w:t>obnove zgrade</w:t>
      </w:r>
      <w:r w:rsidR="00372D71">
        <w:rPr>
          <w:i/>
        </w:rPr>
        <w:t>.</w:t>
      </w:r>
    </w:p>
    <w:p w14:paraId="1B27CF6D" w14:textId="77777777" w:rsidR="00423FC8" w:rsidRDefault="00423FC8" w:rsidP="00423FC8">
      <w:pPr>
        <w:spacing w:after="0"/>
        <w:jc w:val="both"/>
        <w:rPr>
          <w:i/>
        </w:rPr>
      </w:pPr>
    </w:p>
    <w:p w14:paraId="562BBEF8" w14:textId="77777777" w:rsidR="00B669F0" w:rsidRDefault="00B669F0" w:rsidP="00B669F0">
      <w:pPr>
        <w:spacing w:after="0"/>
        <w:jc w:val="both"/>
        <w:rPr>
          <w:i/>
        </w:rPr>
      </w:pPr>
      <w:r w:rsidRPr="009D005B">
        <w:rPr>
          <w:i/>
        </w:rPr>
        <w:t>Izračun financijskog plana:</w:t>
      </w:r>
      <w:r w:rsidRPr="00716BD7">
        <w:t xml:space="preserve"> </w:t>
      </w:r>
    </w:p>
    <w:p w14:paraId="1ED642B7" w14:textId="4F894E8F" w:rsidR="00B669F0" w:rsidRDefault="00B669F0" w:rsidP="00423FC8">
      <w:pPr>
        <w:spacing w:after="0"/>
        <w:jc w:val="both"/>
        <w:rPr>
          <w:i/>
        </w:rPr>
      </w:pPr>
      <w:r w:rsidRPr="00DE6C4D">
        <w:rPr>
          <w:i/>
        </w:rPr>
        <w:t>Ugovorom o dodjeli bespovratnih sredstava</w:t>
      </w:r>
      <w:r>
        <w:rPr>
          <w:i/>
        </w:rPr>
        <w:t xml:space="preserve"> sklopljenim između Prirodoslovno-matematičkog fakulteta Sveučilišta u Zagrebu i </w:t>
      </w:r>
      <w:r w:rsidR="00423FC8">
        <w:rPr>
          <w:i/>
        </w:rPr>
        <w:t>MZO-a</w:t>
      </w:r>
      <w:r w:rsidRPr="00DE6C4D">
        <w:rPr>
          <w:i/>
        </w:rPr>
        <w:t xml:space="preserve"> </w:t>
      </w:r>
      <w:r>
        <w:rPr>
          <w:i/>
        </w:rPr>
        <w:t xml:space="preserve">za provedbu </w:t>
      </w:r>
      <w:r w:rsidR="00423FC8">
        <w:rPr>
          <w:i/>
        </w:rPr>
        <w:t xml:space="preserve">operacije </w:t>
      </w:r>
      <w:r w:rsidR="00423FC8" w:rsidRPr="00423FC8">
        <w:rPr>
          <w:i/>
        </w:rPr>
        <w:t>PMF - Biološki odsjek, Rooseveltov trg 6 - Program provedbe mjera cjelovite obnove infrastrukture i opreme oštećene potresom</w:t>
      </w:r>
      <w:r>
        <w:rPr>
          <w:i/>
        </w:rPr>
        <w:t>,</w:t>
      </w:r>
      <w:r w:rsidRPr="00F11D27">
        <w:rPr>
          <w:i/>
        </w:rPr>
        <w:t xml:space="preserve"> PMF</w:t>
      </w:r>
      <w:r w:rsidRPr="00DE6C4D">
        <w:rPr>
          <w:i/>
        </w:rPr>
        <w:t xml:space="preserve"> su dodijeljena bespovratna sredstva u iznosu </w:t>
      </w:r>
      <w:r>
        <w:rPr>
          <w:i/>
        </w:rPr>
        <w:t xml:space="preserve">od </w:t>
      </w:r>
      <w:r w:rsidR="00F23B5F">
        <w:rPr>
          <w:i/>
        </w:rPr>
        <w:t>24.917.013,80 EUR (187.737.240,48 kn</w:t>
      </w:r>
      <w:bookmarkStart w:id="9" w:name="_Hlk147408537"/>
      <w:r w:rsidR="00F23B5F">
        <w:rPr>
          <w:i/>
        </w:rPr>
        <w:t>)</w:t>
      </w:r>
      <w:r w:rsidRPr="00524858">
        <w:rPr>
          <w:i/>
        </w:rPr>
        <w:t xml:space="preserve">. </w:t>
      </w:r>
      <w:r w:rsidR="00423FC8">
        <w:rPr>
          <w:i/>
        </w:rPr>
        <w:t>Operacija</w:t>
      </w:r>
      <w:r>
        <w:rPr>
          <w:i/>
        </w:rPr>
        <w:t xml:space="preserve"> je</w:t>
      </w:r>
      <w:r w:rsidR="00F23B5F">
        <w:rPr>
          <w:i/>
        </w:rPr>
        <w:t xml:space="preserve"> djelomično</w:t>
      </w:r>
      <w:r w:rsidR="00423FC8">
        <w:rPr>
          <w:i/>
        </w:rPr>
        <w:t xml:space="preserve"> financirana</w:t>
      </w:r>
      <w:r w:rsidR="00423FC8" w:rsidRPr="00423FC8">
        <w:rPr>
          <w:i/>
        </w:rPr>
        <w:t xml:space="preserve"> iz Fonda solidarnosti Europske unije</w:t>
      </w:r>
      <w:r w:rsidR="00F23B5F">
        <w:rPr>
          <w:i/>
        </w:rPr>
        <w:t xml:space="preserve">, a djelomično </w:t>
      </w:r>
      <w:r w:rsidR="00423FC8" w:rsidRPr="00423FC8">
        <w:rPr>
          <w:i/>
        </w:rPr>
        <w:t>iz Mehanizma za oporavak i otpornost</w:t>
      </w:r>
      <w:r w:rsidR="00F23B5F">
        <w:rPr>
          <w:i/>
        </w:rPr>
        <w:t>i</w:t>
      </w:r>
      <w:r w:rsidR="00423FC8">
        <w:rPr>
          <w:i/>
        </w:rPr>
        <w:t>.</w:t>
      </w:r>
      <w:r w:rsidR="006F3DD8">
        <w:rPr>
          <w:i/>
        </w:rPr>
        <w:t xml:space="preserve"> </w:t>
      </w:r>
    </w:p>
    <w:p w14:paraId="1CCA1A7C" w14:textId="7613BCCD" w:rsidR="00B669F0" w:rsidRDefault="00B669F0" w:rsidP="00B669F0">
      <w:pPr>
        <w:spacing w:after="0"/>
        <w:jc w:val="both"/>
        <w:rPr>
          <w:i/>
        </w:rPr>
      </w:pPr>
      <w:r>
        <w:rPr>
          <w:i/>
        </w:rPr>
        <w:t>Troškovi su planirani prema dinamici provedbe aktivnosti tijekom  2024. godine.</w:t>
      </w:r>
    </w:p>
    <w:bookmarkEnd w:id="9"/>
    <w:p w14:paraId="7943154D" w14:textId="0B415E26" w:rsidR="00372D71" w:rsidRDefault="00372D71" w:rsidP="00B669F0">
      <w:pPr>
        <w:spacing w:after="0"/>
        <w:jc w:val="both"/>
        <w:rPr>
          <w:i/>
        </w:rPr>
      </w:pPr>
    </w:p>
    <w:p w14:paraId="75D7246D" w14:textId="08132C7D" w:rsidR="00372D71" w:rsidRDefault="00372D71" w:rsidP="00372D71">
      <w:pPr>
        <w:spacing w:after="0"/>
        <w:jc w:val="both"/>
        <w:rPr>
          <w:b/>
          <w:bCs/>
          <w:i/>
        </w:rPr>
      </w:pPr>
      <w:r w:rsidRPr="00372D71">
        <w:rPr>
          <w:b/>
          <w:bCs/>
          <w:i/>
        </w:rPr>
        <w:t>FSEU.2021.MZO.036</w:t>
      </w:r>
      <w:r>
        <w:rPr>
          <w:b/>
          <w:bCs/>
          <w:i/>
        </w:rPr>
        <w:t xml:space="preserve"> </w:t>
      </w:r>
      <w:bookmarkStart w:id="10" w:name="_Hlk115642239"/>
      <w:r w:rsidRPr="00372D71">
        <w:rPr>
          <w:b/>
          <w:bCs/>
          <w:i/>
        </w:rPr>
        <w:t>PMF - BIOLOSKI ODSJEK, Marulićev trg 20 - PROGRAM PROVEDBE MJERA</w:t>
      </w:r>
      <w:r w:rsidR="00E55335">
        <w:rPr>
          <w:b/>
          <w:bCs/>
          <w:i/>
        </w:rPr>
        <w:t xml:space="preserve"> </w:t>
      </w:r>
      <w:r w:rsidRPr="00372D71">
        <w:rPr>
          <w:b/>
          <w:bCs/>
          <w:i/>
        </w:rPr>
        <w:t>CJELOVITE OBNOVE INFRASTRUKTURE I OPREME OSTECENE POTRESOM</w:t>
      </w:r>
      <w:bookmarkEnd w:id="10"/>
    </w:p>
    <w:p w14:paraId="6C285481" w14:textId="77777777" w:rsidR="00372D71" w:rsidRPr="00372D71" w:rsidRDefault="00372D71" w:rsidP="00372D71">
      <w:pPr>
        <w:spacing w:after="0"/>
        <w:jc w:val="both"/>
        <w:rPr>
          <w:i/>
        </w:rPr>
      </w:pPr>
    </w:p>
    <w:p w14:paraId="599D5B05" w14:textId="72DED33F" w:rsidR="00372D71" w:rsidRPr="00372D71" w:rsidRDefault="00372D71" w:rsidP="00372D71">
      <w:pPr>
        <w:spacing w:after="0"/>
        <w:jc w:val="both"/>
        <w:rPr>
          <w:i/>
        </w:rPr>
      </w:pPr>
      <w:r w:rsidRPr="00372D71">
        <w:rPr>
          <w:i/>
        </w:rPr>
        <w:t>Operacija se sastoji od</w:t>
      </w:r>
      <w:r w:rsidR="001F2B5D">
        <w:rPr>
          <w:i/>
        </w:rPr>
        <w:t xml:space="preserve"> 5 grupa</w:t>
      </w:r>
      <w:r w:rsidRPr="00372D71">
        <w:rPr>
          <w:i/>
        </w:rPr>
        <w:t>:</w:t>
      </w:r>
    </w:p>
    <w:p w14:paraId="729BB4AD" w14:textId="77777777" w:rsidR="00372D71" w:rsidRDefault="00372D71" w:rsidP="006E6676">
      <w:pPr>
        <w:pStyle w:val="ListParagraph"/>
        <w:numPr>
          <w:ilvl w:val="0"/>
          <w:numId w:val="23"/>
        </w:numPr>
        <w:spacing w:after="0"/>
        <w:jc w:val="both"/>
        <w:rPr>
          <w:i/>
        </w:rPr>
      </w:pPr>
      <w:r w:rsidRPr="00372D71">
        <w:rPr>
          <w:i/>
        </w:rPr>
        <w:t>Grupa 1. – hitne mjere sanacije</w:t>
      </w:r>
    </w:p>
    <w:p w14:paraId="1C4C7CC2" w14:textId="77777777" w:rsidR="00372D71" w:rsidRDefault="00372D71" w:rsidP="00775668">
      <w:pPr>
        <w:pStyle w:val="ListParagraph"/>
        <w:numPr>
          <w:ilvl w:val="0"/>
          <w:numId w:val="23"/>
        </w:numPr>
        <w:spacing w:after="0"/>
        <w:jc w:val="both"/>
        <w:rPr>
          <w:i/>
        </w:rPr>
      </w:pPr>
      <w:r w:rsidRPr="00372D71">
        <w:rPr>
          <w:i/>
        </w:rPr>
        <w:t>Grupa 2. – priprema projektne i tehničke dokumentacije cjelovite obnove</w:t>
      </w:r>
    </w:p>
    <w:p w14:paraId="3DADDC1D" w14:textId="77777777" w:rsidR="00372D71" w:rsidRDefault="00372D71" w:rsidP="00372D71">
      <w:pPr>
        <w:pStyle w:val="ListParagraph"/>
        <w:numPr>
          <w:ilvl w:val="0"/>
          <w:numId w:val="23"/>
        </w:numPr>
        <w:spacing w:after="0"/>
        <w:jc w:val="both"/>
        <w:rPr>
          <w:i/>
        </w:rPr>
      </w:pPr>
      <w:r w:rsidRPr="00372D71">
        <w:rPr>
          <w:i/>
        </w:rPr>
        <w:t>Grupa 3. – Izvedba radova</w:t>
      </w:r>
    </w:p>
    <w:p w14:paraId="239D73B5" w14:textId="54E98E68" w:rsidR="00372D71" w:rsidRDefault="00372D71" w:rsidP="00372D71">
      <w:pPr>
        <w:pStyle w:val="ListParagraph"/>
        <w:numPr>
          <w:ilvl w:val="0"/>
          <w:numId w:val="23"/>
        </w:numPr>
        <w:spacing w:after="0"/>
        <w:jc w:val="both"/>
        <w:rPr>
          <w:i/>
        </w:rPr>
      </w:pPr>
      <w:r w:rsidRPr="00372D71">
        <w:rPr>
          <w:i/>
        </w:rPr>
        <w:t>Grupa 5. – upravljanje projektom i administracija</w:t>
      </w:r>
    </w:p>
    <w:p w14:paraId="537588B1" w14:textId="77777777" w:rsidR="0023415F" w:rsidRDefault="00372D71" w:rsidP="00372D71">
      <w:pPr>
        <w:pStyle w:val="ListParagraph"/>
        <w:numPr>
          <w:ilvl w:val="0"/>
          <w:numId w:val="23"/>
        </w:numPr>
        <w:spacing w:after="0"/>
        <w:jc w:val="both"/>
        <w:rPr>
          <w:i/>
        </w:rPr>
      </w:pPr>
      <w:r>
        <w:rPr>
          <w:i/>
        </w:rPr>
        <w:t xml:space="preserve">Grupa 6. </w:t>
      </w:r>
      <w:r w:rsidR="0023415F">
        <w:rPr>
          <w:i/>
        </w:rPr>
        <w:t>– promidžba i vidljivost</w:t>
      </w:r>
    </w:p>
    <w:p w14:paraId="1F091761" w14:textId="1E80EFA0" w:rsidR="00372D71" w:rsidRPr="00372D71" w:rsidRDefault="00372D71" w:rsidP="00372D71">
      <w:pPr>
        <w:pStyle w:val="ListParagraph"/>
        <w:numPr>
          <w:ilvl w:val="0"/>
          <w:numId w:val="23"/>
        </w:numPr>
        <w:spacing w:after="0"/>
        <w:jc w:val="both"/>
        <w:rPr>
          <w:i/>
        </w:rPr>
      </w:pPr>
      <w:r>
        <w:rPr>
          <w:i/>
        </w:rPr>
        <w:t xml:space="preserve"> </w:t>
      </w:r>
    </w:p>
    <w:p w14:paraId="6A6CB26E" w14:textId="77777777" w:rsidR="00372D71" w:rsidRPr="00372D71" w:rsidRDefault="00372D71" w:rsidP="00372D71">
      <w:pPr>
        <w:spacing w:after="0"/>
        <w:jc w:val="both"/>
        <w:rPr>
          <w:i/>
        </w:rPr>
      </w:pPr>
      <w:r w:rsidRPr="00372D71">
        <w:rPr>
          <w:i/>
        </w:rPr>
        <w:t xml:space="preserve">Provedba ove operacije započela je 2022. godine. </w:t>
      </w:r>
    </w:p>
    <w:p w14:paraId="67061155" w14:textId="77777777" w:rsidR="00372D71" w:rsidRPr="00372D71" w:rsidRDefault="00372D71" w:rsidP="00372D71">
      <w:pPr>
        <w:spacing w:after="0"/>
        <w:jc w:val="both"/>
        <w:rPr>
          <w:i/>
        </w:rPr>
      </w:pPr>
    </w:p>
    <w:p w14:paraId="6ED3CEE1" w14:textId="048B6D32" w:rsidR="00372D71" w:rsidRPr="00372D71" w:rsidRDefault="00372D71" w:rsidP="00372D71">
      <w:pPr>
        <w:spacing w:after="0"/>
        <w:jc w:val="both"/>
        <w:rPr>
          <w:i/>
        </w:rPr>
      </w:pPr>
      <w:r w:rsidRPr="00372D71">
        <w:rPr>
          <w:i/>
        </w:rPr>
        <w:t>Svrha operacije je priprema projektno-tehničke dokumentacije za izvođenje radova cjelovite obnove</w:t>
      </w:r>
      <w:r>
        <w:rPr>
          <w:i/>
        </w:rPr>
        <w:t xml:space="preserve"> </w:t>
      </w:r>
      <w:r w:rsidRPr="00372D71">
        <w:rPr>
          <w:i/>
        </w:rPr>
        <w:t>zgrade PMF-a na Marulićevom trgu br. 20 u Zagrebu, a kao posljedica potresa od 22.03.2020. godine</w:t>
      </w:r>
      <w:r>
        <w:rPr>
          <w:i/>
        </w:rPr>
        <w:t xml:space="preserve"> </w:t>
      </w:r>
      <w:r w:rsidRPr="00372D71">
        <w:rPr>
          <w:i/>
        </w:rPr>
        <w:t>i nadoknada sredstava do sada utrošenih na hitne mjere sanacije. Zgradu na Marulićevom trgu 20</w:t>
      </w:r>
      <w:r>
        <w:rPr>
          <w:i/>
        </w:rPr>
        <w:t xml:space="preserve"> </w:t>
      </w:r>
      <w:r w:rsidRPr="00372D71">
        <w:rPr>
          <w:i/>
        </w:rPr>
        <w:t>potrebno je obnoviti i cjelovito rekonstruirati u dva koraka. Prvi korak je dovođenje svih dijelova</w:t>
      </w:r>
      <w:r>
        <w:rPr>
          <w:i/>
        </w:rPr>
        <w:t xml:space="preserve"> </w:t>
      </w:r>
      <w:r w:rsidRPr="00372D71">
        <w:rPr>
          <w:i/>
        </w:rPr>
        <w:t>zgrade u radno stanje kakvo je imala prije potresa, a drugi korak je cjelovita obnova zgrade</w:t>
      </w:r>
      <w:r>
        <w:rPr>
          <w:i/>
        </w:rPr>
        <w:t xml:space="preserve"> </w:t>
      </w:r>
      <w:r w:rsidRPr="00372D71">
        <w:rPr>
          <w:i/>
        </w:rPr>
        <w:t>pojačanjem konstrukcije, funkcionalnim promjenama prostora s ciljem unapređenja rada u</w:t>
      </w:r>
      <w:r>
        <w:rPr>
          <w:i/>
        </w:rPr>
        <w:t xml:space="preserve"> </w:t>
      </w:r>
      <w:r w:rsidRPr="00372D71">
        <w:rPr>
          <w:i/>
        </w:rPr>
        <w:t>znanstveno-nastavnim laboratorijima i drugim znanstveno-nastavnim prostorima zgrade</w:t>
      </w:r>
      <w:r>
        <w:rPr>
          <w:i/>
        </w:rPr>
        <w:t xml:space="preserve"> </w:t>
      </w:r>
      <w:r w:rsidRPr="00372D71">
        <w:rPr>
          <w:i/>
        </w:rPr>
        <w:t>osiguravanjem dostupnosti prostora osobama s poteškoćama u kretanju gdje je to tehnički moguće, te</w:t>
      </w:r>
      <w:r>
        <w:rPr>
          <w:i/>
        </w:rPr>
        <w:t xml:space="preserve"> </w:t>
      </w:r>
      <w:r w:rsidRPr="00372D71">
        <w:rPr>
          <w:i/>
        </w:rPr>
        <w:t xml:space="preserve">rješavanjem pitanja protupožarne zaštite i energetske obnove zgrade. </w:t>
      </w:r>
    </w:p>
    <w:p w14:paraId="4EB4883F" w14:textId="77777777" w:rsidR="00372D71" w:rsidRPr="00372D71" w:rsidRDefault="00372D71" w:rsidP="00372D71">
      <w:pPr>
        <w:spacing w:after="0"/>
        <w:jc w:val="both"/>
        <w:rPr>
          <w:i/>
        </w:rPr>
      </w:pPr>
    </w:p>
    <w:p w14:paraId="7EDBB21F" w14:textId="77777777" w:rsidR="00372D71" w:rsidRPr="00372D71" w:rsidRDefault="00372D71" w:rsidP="00372D71">
      <w:pPr>
        <w:spacing w:after="0"/>
        <w:jc w:val="both"/>
        <w:rPr>
          <w:i/>
        </w:rPr>
      </w:pPr>
      <w:r w:rsidRPr="00372D71">
        <w:rPr>
          <w:i/>
        </w:rPr>
        <w:t xml:space="preserve">Izračun financijskog plana: </w:t>
      </w:r>
    </w:p>
    <w:p w14:paraId="6490F19B" w14:textId="3F3A8DAD" w:rsidR="00F23B5F" w:rsidRPr="00F23B5F" w:rsidRDefault="00372D71" w:rsidP="00F23B5F">
      <w:pPr>
        <w:spacing w:after="0"/>
        <w:jc w:val="both"/>
        <w:rPr>
          <w:i/>
        </w:rPr>
      </w:pPr>
      <w:r w:rsidRPr="00372D71">
        <w:rPr>
          <w:i/>
        </w:rPr>
        <w:lastRenderedPageBreak/>
        <w:t xml:space="preserve">Ugovorom o dodjeli bespovratnih sredstava sklopljenim između Prirodoslovno-matematičkog fakulteta Sveučilišta u Zagrebu i MZO-a za provedbu </w:t>
      </w:r>
      <w:r w:rsidR="00C47C67" w:rsidRPr="00C47C67">
        <w:rPr>
          <w:i/>
        </w:rPr>
        <w:t>PMF - BIOLOSKI ODSJEK, Marulićev trg 20 - PROGRAM PROVEDBE MJERA</w:t>
      </w:r>
      <w:r w:rsidR="00C47C67">
        <w:rPr>
          <w:i/>
        </w:rPr>
        <w:t xml:space="preserve"> </w:t>
      </w:r>
      <w:r w:rsidR="00C47C67" w:rsidRPr="00C47C67">
        <w:rPr>
          <w:i/>
        </w:rPr>
        <w:t>CJELOVITE OBNOVE INFRASTRUKTURE I OPREME OSTECENE POTRESOM</w:t>
      </w:r>
      <w:r w:rsidRPr="00372D71">
        <w:rPr>
          <w:i/>
        </w:rPr>
        <w:t xml:space="preserve">, PMF su dodijeljena bespovratna sredstva u iznosu od </w:t>
      </w:r>
      <w:r w:rsidR="001766FC">
        <w:rPr>
          <w:i/>
        </w:rPr>
        <w:t>10.594.602,21 EUR (79.825.030,35 kn</w:t>
      </w:r>
      <w:r w:rsidR="00F23B5F" w:rsidRPr="00F23B5F">
        <w:rPr>
          <w:i/>
        </w:rPr>
        <w:t xml:space="preserve">). Operacija je djelomično financirana iz Fonda solidarnosti Europske unije, a djelomično iz Mehanizma za oporavak i otpornosti. </w:t>
      </w:r>
    </w:p>
    <w:p w14:paraId="15F60891" w14:textId="2791A8CB" w:rsidR="001C7774" w:rsidRDefault="00F23B5F" w:rsidP="00F23B5F">
      <w:pPr>
        <w:spacing w:after="0"/>
        <w:jc w:val="both"/>
        <w:rPr>
          <w:i/>
        </w:rPr>
      </w:pPr>
      <w:r w:rsidRPr="00F23B5F">
        <w:rPr>
          <w:i/>
        </w:rPr>
        <w:t>Troškovi su planirani prema dinamici provedbe aktivnosti tijekom  2024. godine.</w:t>
      </w:r>
    </w:p>
    <w:p w14:paraId="5226D753" w14:textId="06CD835E" w:rsidR="001C7774" w:rsidRDefault="001C7774" w:rsidP="00FE5A66">
      <w:pPr>
        <w:spacing w:after="0"/>
        <w:jc w:val="both"/>
        <w:rPr>
          <w:i/>
        </w:rPr>
      </w:pPr>
    </w:p>
    <w:p w14:paraId="15935346" w14:textId="7957B976" w:rsidR="001C7774" w:rsidRDefault="00DE3DCC" w:rsidP="001C7774">
      <w:pPr>
        <w:spacing w:after="0"/>
        <w:jc w:val="both"/>
        <w:rPr>
          <w:b/>
          <w:bCs/>
          <w:i/>
        </w:rPr>
      </w:pPr>
      <w:r w:rsidRPr="00DE3DCC">
        <w:rPr>
          <w:b/>
          <w:bCs/>
          <w:i/>
        </w:rPr>
        <w:t xml:space="preserve">FSEU.2021.MZO.034 </w:t>
      </w:r>
      <w:bookmarkStart w:id="11" w:name="_Hlk115642215"/>
      <w:r w:rsidRPr="00DE3DCC">
        <w:rPr>
          <w:b/>
          <w:bCs/>
          <w:i/>
        </w:rPr>
        <w:t>PMF-BIOLOŠKI ODSJEK, Marulićev trg 9a - Program provedbe mjera cjelovite obnove infrastrukture i opreme oštećene potresom</w:t>
      </w:r>
      <w:bookmarkEnd w:id="11"/>
    </w:p>
    <w:p w14:paraId="3572DDEE" w14:textId="77777777" w:rsidR="00DE3DCC" w:rsidRPr="00372D71" w:rsidRDefault="00DE3DCC" w:rsidP="001C7774">
      <w:pPr>
        <w:spacing w:after="0"/>
        <w:jc w:val="both"/>
        <w:rPr>
          <w:i/>
        </w:rPr>
      </w:pPr>
    </w:p>
    <w:p w14:paraId="4FEE65FE" w14:textId="39DF67E7" w:rsidR="001C7774" w:rsidRPr="00372D71" w:rsidRDefault="001C7774" w:rsidP="001C7774">
      <w:pPr>
        <w:spacing w:after="0"/>
        <w:jc w:val="both"/>
        <w:rPr>
          <w:i/>
        </w:rPr>
      </w:pPr>
      <w:r w:rsidRPr="00372D71">
        <w:rPr>
          <w:i/>
        </w:rPr>
        <w:t>Operacija se sastoji od</w:t>
      </w:r>
      <w:r w:rsidR="001F2B5D">
        <w:rPr>
          <w:i/>
        </w:rPr>
        <w:t xml:space="preserve"> 5 grupa</w:t>
      </w:r>
      <w:r w:rsidRPr="00372D71">
        <w:rPr>
          <w:i/>
        </w:rPr>
        <w:t>:</w:t>
      </w:r>
    </w:p>
    <w:p w14:paraId="07CB98A5" w14:textId="77777777" w:rsidR="001C7774" w:rsidRDefault="001C7774" w:rsidP="001C7774">
      <w:pPr>
        <w:pStyle w:val="ListParagraph"/>
        <w:numPr>
          <w:ilvl w:val="0"/>
          <w:numId w:val="23"/>
        </w:numPr>
        <w:spacing w:after="0"/>
        <w:jc w:val="both"/>
        <w:rPr>
          <w:i/>
        </w:rPr>
      </w:pPr>
      <w:r w:rsidRPr="00372D71">
        <w:rPr>
          <w:i/>
        </w:rPr>
        <w:t>Grupa 1. – hitne mjere sanacije</w:t>
      </w:r>
    </w:p>
    <w:p w14:paraId="28AB9D7A" w14:textId="77777777" w:rsidR="001C7774" w:rsidRDefault="001C7774" w:rsidP="001C7774">
      <w:pPr>
        <w:pStyle w:val="ListParagraph"/>
        <w:numPr>
          <w:ilvl w:val="0"/>
          <w:numId w:val="23"/>
        </w:numPr>
        <w:spacing w:after="0"/>
        <w:jc w:val="both"/>
        <w:rPr>
          <w:i/>
        </w:rPr>
      </w:pPr>
      <w:r w:rsidRPr="00372D71">
        <w:rPr>
          <w:i/>
        </w:rPr>
        <w:t>Grupa 2. – priprema projektne i tehničke dokumentacije cjelovite obnove</w:t>
      </w:r>
    </w:p>
    <w:p w14:paraId="5AC51940" w14:textId="77777777" w:rsidR="001C7774" w:rsidRDefault="001C7774" w:rsidP="001C7774">
      <w:pPr>
        <w:pStyle w:val="ListParagraph"/>
        <w:numPr>
          <w:ilvl w:val="0"/>
          <w:numId w:val="23"/>
        </w:numPr>
        <w:spacing w:after="0"/>
        <w:jc w:val="both"/>
        <w:rPr>
          <w:i/>
        </w:rPr>
      </w:pPr>
      <w:r w:rsidRPr="00372D71">
        <w:rPr>
          <w:i/>
        </w:rPr>
        <w:t>Grupa 3. – Izvedba radova</w:t>
      </w:r>
    </w:p>
    <w:p w14:paraId="56669479" w14:textId="77777777" w:rsidR="001C7774" w:rsidRDefault="001C7774" w:rsidP="001C7774">
      <w:pPr>
        <w:pStyle w:val="ListParagraph"/>
        <w:numPr>
          <w:ilvl w:val="0"/>
          <w:numId w:val="23"/>
        </w:numPr>
        <w:spacing w:after="0"/>
        <w:jc w:val="both"/>
        <w:rPr>
          <w:i/>
        </w:rPr>
      </w:pPr>
      <w:r w:rsidRPr="00372D71">
        <w:rPr>
          <w:i/>
        </w:rPr>
        <w:t>Grupa 5. – upravljanje projektom i administracija</w:t>
      </w:r>
    </w:p>
    <w:p w14:paraId="385AD933" w14:textId="77777777" w:rsidR="001C7774" w:rsidRDefault="001C7774" w:rsidP="001C7774">
      <w:pPr>
        <w:pStyle w:val="ListParagraph"/>
        <w:numPr>
          <w:ilvl w:val="0"/>
          <w:numId w:val="23"/>
        </w:numPr>
        <w:spacing w:after="0"/>
        <w:jc w:val="both"/>
        <w:rPr>
          <w:i/>
        </w:rPr>
      </w:pPr>
      <w:r>
        <w:rPr>
          <w:i/>
        </w:rPr>
        <w:t>Grupa 6. – promidžba i vidljivost</w:t>
      </w:r>
    </w:p>
    <w:p w14:paraId="104B3AF1" w14:textId="77777777" w:rsidR="001C7774" w:rsidRPr="00372D71" w:rsidRDefault="001C7774" w:rsidP="001C7774">
      <w:pPr>
        <w:pStyle w:val="ListParagraph"/>
        <w:numPr>
          <w:ilvl w:val="0"/>
          <w:numId w:val="23"/>
        </w:numPr>
        <w:spacing w:after="0"/>
        <w:jc w:val="both"/>
        <w:rPr>
          <w:i/>
        </w:rPr>
      </w:pPr>
      <w:r>
        <w:rPr>
          <w:i/>
        </w:rPr>
        <w:t xml:space="preserve"> </w:t>
      </w:r>
    </w:p>
    <w:p w14:paraId="3120F8FB" w14:textId="77777777" w:rsidR="001C7774" w:rsidRPr="00372D71" w:rsidRDefault="001C7774" w:rsidP="001C7774">
      <w:pPr>
        <w:spacing w:after="0"/>
        <w:jc w:val="both"/>
        <w:rPr>
          <w:i/>
        </w:rPr>
      </w:pPr>
      <w:r w:rsidRPr="00372D71">
        <w:rPr>
          <w:i/>
        </w:rPr>
        <w:t xml:space="preserve">Provedba ove operacije započela je 2022. godine. </w:t>
      </w:r>
    </w:p>
    <w:p w14:paraId="58FC8F52" w14:textId="77777777" w:rsidR="001C7774" w:rsidRPr="00372D71" w:rsidRDefault="001C7774" w:rsidP="001C7774">
      <w:pPr>
        <w:spacing w:after="0"/>
        <w:jc w:val="both"/>
        <w:rPr>
          <w:i/>
        </w:rPr>
      </w:pPr>
    </w:p>
    <w:p w14:paraId="364BEE26" w14:textId="6E618B35" w:rsidR="001C7774" w:rsidRDefault="00C47C67" w:rsidP="00C47C67">
      <w:pPr>
        <w:spacing w:after="0"/>
        <w:jc w:val="both"/>
        <w:rPr>
          <w:i/>
        </w:rPr>
      </w:pPr>
      <w:r w:rsidRPr="00C47C67">
        <w:rPr>
          <w:i/>
        </w:rPr>
        <w:t>Svrha operacije je priprema projektno-tehničke dokumentacije za izvođenje radova cjelovite</w:t>
      </w:r>
      <w:r>
        <w:rPr>
          <w:i/>
        </w:rPr>
        <w:t xml:space="preserve"> </w:t>
      </w:r>
      <w:r w:rsidRPr="00C47C67">
        <w:rPr>
          <w:i/>
        </w:rPr>
        <w:t>obnove dviju kuća (zgrada) PMF - Biološki odsjek - kuća uprave V1ia te kuća Botaničkog</w:t>
      </w:r>
      <w:r>
        <w:rPr>
          <w:i/>
        </w:rPr>
        <w:t xml:space="preserve"> </w:t>
      </w:r>
      <w:r w:rsidRPr="00C47C67">
        <w:rPr>
          <w:i/>
        </w:rPr>
        <w:t>zavoda/Zavoda za mikrobiologiju, na Marulićevom trgu 9a u Zagrebu (unutar Botaničkog v</w:t>
      </w:r>
      <w:r>
        <w:rPr>
          <w:i/>
        </w:rPr>
        <w:t xml:space="preserve">rta </w:t>
      </w:r>
      <w:r w:rsidRPr="00C47C67">
        <w:rPr>
          <w:i/>
        </w:rPr>
        <w:t>PMF</w:t>
      </w:r>
      <w:r>
        <w:rPr>
          <w:i/>
        </w:rPr>
        <w:t>-</w:t>
      </w:r>
      <w:r w:rsidRPr="00C47C67">
        <w:rPr>
          <w:i/>
        </w:rPr>
        <w:t>a),</w:t>
      </w:r>
      <w:r>
        <w:rPr>
          <w:i/>
        </w:rPr>
        <w:t xml:space="preserve"> </w:t>
      </w:r>
      <w:r w:rsidRPr="00C47C67">
        <w:rPr>
          <w:i/>
        </w:rPr>
        <w:t>kao posljedica potresa 22.3.2020. godine te nadoknada sredstava do sada utrošenih na hitne mjere</w:t>
      </w:r>
      <w:r>
        <w:rPr>
          <w:i/>
        </w:rPr>
        <w:t xml:space="preserve"> </w:t>
      </w:r>
      <w:r w:rsidRPr="00C47C67">
        <w:rPr>
          <w:i/>
        </w:rPr>
        <w:t>sanacije. Spomenute zgrade na Marulićevom trgu 9a, koje su oštećene potresom, potrebno je obnoviti</w:t>
      </w:r>
      <w:r>
        <w:rPr>
          <w:i/>
        </w:rPr>
        <w:t xml:space="preserve"> </w:t>
      </w:r>
      <w:r w:rsidRPr="00C47C67">
        <w:rPr>
          <w:i/>
        </w:rPr>
        <w:t>i cjelovita rekonstruirati u dva koraka. Prvi korak je dovođenje svih dijelova zgrada u radno stanje</w:t>
      </w:r>
      <w:r>
        <w:rPr>
          <w:i/>
        </w:rPr>
        <w:t xml:space="preserve"> </w:t>
      </w:r>
      <w:r w:rsidRPr="00C47C67">
        <w:rPr>
          <w:i/>
        </w:rPr>
        <w:t>kakvo su imale prije potresa, a drugi korak je cjelovita obnova zgrada pojačanjem konstrukcije,</w:t>
      </w:r>
      <w:r>
        <w:rPr>
          <w:i/>
        </w:rPr>
        <w:t xml:space="preserve"> </w:t>
      </w:r>
      <w:r w:rsidRPr="00C47C67">
        <w:rPr>
          <w:i/>
        </w:rPr>
        <w:t xml:space="preserve">vraćanjem izvornog izgleda zgrade (kuća uprave </w:t>
      </w:r>
      <w:r>
        <w:rPr>
          <w:i/>
        </w:rPr>
        <w:t>vrta</w:t>
      </w:r>
      <w:r w:rsidRPr="00C47C67">
        <w:rPr>
          <w:i/>
        </w:rPr>
        <w:t>) te mogućim funkcionalnim promjenama</w:t>
      </w:r>
      <w:r>
        <w:rPr>
          <w:i/>
        </w:rPr>
        <w:t xml:space="preserve"> </w:t>
      </w:r>
      <w:r w:rsidRPr="00C47C67">
        <w:rPr>
          <w:i/>
        </w:rPr>
        <w:t>prostora s ciljem unapređenja rada u znanstveno-nastavnim laboratorijima i drugim znanstveno nastavnim</w:t>
      </w:r>
      <w:r>
        <w:rPr>
          <w:i/>
        </w:rPr>
        <w:t xml:space="preserve"> </w:t>
      </w:r>
      <w:r w:rsidRPr="00C47C67">
        <w:rPr>
          <w:i/>
        </w:rPr>
        <w:t>prostorima zgrade (kuća zavoda), osiguravanjem dostupnosti prostora osobama s</w:t>
      </w:r>
      <w:r>
        <w:rPr>
          <w:i/>
        </w:rPr>
        <w:t xml:space="preserve"> </w:t>
      </w:r>
      <w:r w:rsidRPr="00C47C67">
        <w:rPr>
          <w:i/>
        </w:rPr>
        <w:t xml:space="preserve">poteškoćama u kretanju gdje je to tehnički moguće te </w:t>
      </w:r>
      <w:r>
        <w:rPr>
          <w:i/>
        </w:rPr>
        <w:t>rje</w:t>
      </w:r>
      <w:r w:rsidRPr="00C47C67">
        <w:rPr>
          <w:i/>
        </w:rPr>
        <w:t>šavanjem pitanja protupožarne zaštite i</w:t>
      </w:r>
      <w:r>
        <w:rPr>
          <w:i/>
        </w:rPr>
        <w:t xml:space="preserve"> </w:t>
      </w:r>
      <w:r w:rsidRPr="00C47C67">
        <w:rPr>
          <w:i/>
        </w:rPr>
        <w:t>energetske obnove zgrade.</w:t>
      </w:r>
    </w:p>
    <w:p w14:paraId="2DAC5167" w14:textId="77777777" w:rsidR="00C47C67" w:rsidRPr="00372D71" w:rsidRDefault="00C47C67" w:rsidP="00C47C67">
      <w:pPr>
        <w:spacing w:after="0"/>
        <w:jc w:val="both"/>
        <w:rPr>
          <w:i/>
        </w:rPr>
      </w:pPr>
    </w:p>
    <w:p w14:paraId="19FBF79B" w14:textId="77777777" w:rsidR="001C7774" w:rsidRPr="00372D71" w:rsidRDefault="001C7774" w:rsidP="001C7774">
      <w:pPr>
        <w:spacing w:after="0"/>
        <w:jc w:val="both"/>
        <w:rPr>
          <w:i/>
        </w:rPr>
      </w:pPr>
      <w:r w:rsidRPr="00372D71">
        <w:rPr>
          <w:i/>
        </w:rPr>
        <w:t xml:space="preserve">Izračun financijskog plana: </w:t>
      </w:r>
    </w:p>
    <w:p w14:paraId="172A3985" w14:textId="703E30FD" w:rsidR="001766FC" w:rsidRPr="001766FC" w:rsidRDefault="001C7774" w:rsidP="001766FC">
      <w:pPr>
        <w:spacing w:after="0"/>
        <w:jc w:val="both"/>
        <w:rPr>
          <w:i/>
        </w:rPr>
      </w:pPr>
      <w:r w:rsidRPr="00372D71">
        <w:rPr>
          <w:i/>
        </w:rPr>
        <w:t xml:space="preserve">Ugovorom o dodjeli bespovratnih sredstava sklopljenim između Prirodoslovno-matematičkog fakulteta Sveučilišta u Zagrebu i MZO-a za provedbu operacije </w:t>
      </w:r>
      <w:r w:rsidR="00C47C67" w:rsidRPr="00C47C67">
        <w:rPr>
          <w:i/>
        </w:rPr>
        <w:t>PMF-BIOLOŠKI ODSJEK, Marulićev trg 9a - Program provedbe mjera cjelovite obnove infrastrukture i opreme oštećene potresom</w:t>
      </w:r>
      <w:r w:rsidRPr="00372D71">
        <w:rPr>
          <w:i/>
        </w:rPr>
        <w:t xml:space="preserve">, PMF su dodijeljena bespovratna sredstva u iznosu od </w:t>
      </w:r>
      <w:r w:rsidR="001766FC">
        <w:rPr>
          <w:i/>
        </w:rPr>
        <w:t>1.094.208,33 EUR (</w:t>
      </w:r>
      <w:r w:rsidR="00DE3DCC" w:rsidRPr="00DE3DCC">
        <w:rPr>
          <w:i/>
        </w:rPr>
        <w:t xml:space="preserve">8.244.312,71 </w:t>
      </w:r>
      <w:r w:rsidRPr="00372D71">
        <w:rPr>
          <w:i/>
        </w:rPr>
        <w:t>kn</w:t>
      </w:r>
      <w:r w:rsidR="001766FC">
        <w:rPr>
          <w:i/>
        </w:rPr>
        <w:t>)</w:t>
      </w:r>
      <w:r w:rsidRPr="00372D71">
        <w:rPr>
          <w:i/>
        </w:rPr>
        <w:t xml:space="preserve">. </w:t>
      </w:r>
      <w:bookmarkEnd w:id="8"/>
      <w:r w:rsidR="001766FC" w:rsidRPr="001766FC">
        <w:rPr>
          <w:i/>
        </w:rPr>
        <w:t xml:space="preserve">Operacija je djelomično financirana iz Fonda solidarnosti Europske unije, a djelomično iz Mehanizma za oporavak i otpornosti. </w:t>
      </w:r>
    </w:p>
    <w:p w14:paraId="18FA9B3D" w14:textId="6E651A1A" w:rsidR="00DD71DD" w:rsidRPr="001766FC" w:rsidRDefault="001766FC" w:rsidP="001F2B5D">
      <w:pPr>
        <w:spacing w:after="0"/>
        <w:jc w:val="both"/>
        <w:rPr>
          <w:rFonts w:ascii="Times New Roman" w:hAnsi="Times New Roman" w:cs="Times New Roman"/>
          <w:sz w:val="24"/>
          <w:szCs w:val="24"/>
        </w:rPr>
      </w:pPr>
      <w:r w:rsidRPr="001766FC">
        <w:rPr>
          <w:i/>
        </w:rPr>
        <w:t>Troškovi su planirani prema dinamici provedbe aktivnosti tijekom  2024. godine.</w:t>
      </w:r>
    </w:p>
    <w:p w14:paraId="79C8E380" w14:textId="77777777" w:rsidR="00DD71DD" w:rsidRDefault="00DD71DD" w:rsidP="001F2B5D">
      <w:pPr>
        <w:spacing w:after="0"/>
        <w:jc w:val="both"/>
        <w:rPr>
          <w:b/>
          <w:i/>
        </w:rPr>
      </w:pPr>
    </w:p>
    <w:p w14:paraId="69A6B823" w14:textId="77777777" w:rsidR="00120537" w:rsidRDefault="00120537" w:rsidP="001F2B5D">
      <w:pPr>
        <w:spacing w:after="0"/>
        <w:jc w:val="both"/>
        <w:rPr>
          <w:b/>
          <w:i/>
        </w:rPr>
      </w:pPr>
    </w:p>
    <w:p w14:paraId="773ECCFD" w14:textId="77777777" w:rsidR="00120537" w:rsidRDefault="00120537" w:rsidP="001F2B5D">
      <w:pPr>
        <w:spacing w:after="0"/>
        <w:jc w:val="both"/>
        <w:rPr>
          <w:b/>
          <w:i/>
        </w:rPr>
      </w:pPr>
    </w:p>
    <w:p w14:paraId="7ECA369E" w14:textId="3BF31379" w:rsidR="001F2B5D" w:rsidRPr="00423FC8" w:rsidRDefault="00A06A13" w:rsidP="001F2B5D">
      <w:pPr>
        <w:spacing w:after="0"/>
        <w:jc w:val="both"/>
        <w:rPr>
          <w:b/>
          <w:i/>
        </w:rPr>
      </w:pPr>
      <w:r>
        <w:rPr>
          <w:b/>
          <w:i/>
        </w:rPr>
        <w:t>Razvoj mreže seizmoloških podataka</w:t>
      </w:r>
    </w:p>
    <w:p w14:paraId="2E9E52A5" w14:textId="77777777" w:rsidR="001F2B5D" w:rsidRDefault="001F2B5D" w:rsidP="001F2B5D">
      <w:pPr>
        <w:spacing w:after="0"/>
        <w:jc w:val="both"/>
        <w:rPr>
          <w:b/>
          <w:i/>
        </w:rPr>
      </w:pPr>
    </w:p>
    <w:p w14:paraId="0AD5588A" w14:textId="1D00E4AE" w:rsidR="001F2B5D" w:rsidRDefault="00BF44F4" w:rsidP="001F2B5D">
      <w:pPr>
        <w:spacing w:after="0"/>
        <w:jc w:val="both"/>
        <w:rPr>
          <w:i/>
        </w:rPr>
      </w:pPr>
      <w:r>
        <w:rPr>
          <w:i/>
        </w:rPr>
        <w:t>Projekt</w:t>
      </w:r>
      <w:r w:rsidR="001F2B5D">
        <w:rPr>
          <w:i/>
        </w:rPr>
        <w:t xml:space="preserve"> se sastoji od sljedećih elemenata:</w:t>
      </w:r>
    </w:p>
    <w:p w14:paraId="212FF1D9" w14:textId="77777777" w:rsidR="001F2B5D" w:rsidRDefault="001F2B5D" w:rsidP="001F2B5D">
      <w:pPr>
        <w:pStyle w:val="ListParagraph"/>
        <w:numPr>
          <w:ilvl w:val="0"/>
          <w:numId w:val="24"/>
        </w:numPr>
        <w:spacing w:after="0"/>
        <w:jc w:val="both"/>
        <w:rPr>
          <w:i/>
        </w:rPr>
      </w:pPr>
      <w:r w:rsidRPr="001F2B5D">
        <w:rPr>
          <w:i/>
        </w:rPr>
        <w:t>Element 1. Jačanje infrastrukturnih kapaciteta seizmološke službe RH</w:t>
      </w:r>
      <w:r>
        <w:rPr>
          <w:i/>
        </w:rPr>
        <w:t xml:space="preserve"> z</w:t>
      </w:r>
      <w:r w:rsidRPr="001F2B5D">
        <w:rPr>
          <w:i/>
        </w:rPr>
        <w:t>a prikupljanje, obradu i primjenu seizmoloških podataka</w:t>
      </w:r>
    </w:p>
    <w:p w14:paraId="45EE8476" w14:textId="77777777" w:rsidR="001F2B5D" w:rsidRDefault="001F2B5D" w:rsidP="001F2B5D">
      <w:pPr>
        <w:pStyle w:val="ListParagraph"/>
        <w:numPr>
          <w:ilvl w:val="0"/>
          <w:numId w:val="24"/>
        </w:numPr>
        <w:spacing w:after="0"/>
        <w:jc w:val="both"/>
        <w:rPr>
          <w:i/>
        </w:rPr>
      </w:pPr>
      <w:r w:rsidRPr="001F2B5D">
        <w:rPr>
          <w:i/>
        </w:rPr>
        <w:lastRenderedPageBreak/>
        <w:t xml:space="preserve">Element 2. Jačanje stručnih i organizacijskih kapaciteta </w:t>
      </w:r>
      <w:r>
        <w:rPr>
          <w:i/>
        </w:rPr>
        <w:t>SS RH</w:t>
      </w:r>
      <w:r w:rsidRPr="001F2B5D">
        <w:rPr>
          <w:i/>
        </w:rPr>
        <w:t xml:space="preserve"> za prikupljanje, obradu i primjenu seizmoloških podataka</w:t>
      </w:r>
    </w:p>
    <w:p w14:paraId="1E301813" w14:textId="77777777" w:rsidR="001F2B5D" w:rsidRDefault="001F2B5D" w:rsidP="001F2B5D">
      <w:pPr>
        <w:pStyle w:val="ListParagraph"/>
        <w:numPr>
          <w:ilvl w:val="0"/>
          <w:numId w:val="24"/>
        </w:numPr>
        <w:spacing w:after="0"/>
        <w:jc w:val="both"/>
        <w:rPr>
          <w:i/>
        </w:rPr>
      </w:pPr>
      <w:r w:rsidRPr="001F2B5D">
        <w:rPr>
          <w:i/>
        </w:rPr>
        <w:t>Element 3. Upravljanje projektom i administracija</w:t>
      </w:r>
    </w:p>
    <w:p w14:paraId="4FBC5BB6" w14:textId="2093E41A" w:rsidR="001F2B5D" w:rsidRPr="001F2B5D" w:rsidRDefault="001F2B5D" w:rsidP="001F2B5D">
      <w:pPr>
        <w:pStyle w:val="ListParagraph"/>
        <w:numPr>
          <w:ilvl w:val="0"/>
          <w:numId w:val="24"/>
        </w:numPr>
        <w:spacing w:after="0"/>
        <w:jc w:val="both"/>
        <w:rPr>
          <w:i/>
        </w:rPr>
      </w:pPr>
      <w:r w:rsidRPr="001F2B5D">
        <w:rPr>
          <w:i/>
        </w:rPr>
        <w:t>Element 4. Promidžba i vidljivost</w:t>
      </w:r>
      <w:r w:rsidRPr="001F2B5D">
        <w:rPr>
          <w:i/>
        </w:rPr>
        <w:cr/>
      </w:r>
    </w:p>
    <w:p w14:paraId="08173CF9" w14:textId="2C9D2B42" w:rsidR="001F2B5D" w:rsidRPr="00524858" w:rsidRDefault="001F2B5D" w:rsidP="001F2B5D">
      <w:pPr>
        <w:spacing w:after="0"/>
        <w:jc w:val="both"/>
        <w:rPr>
          <w:i/>
        </w:rPr>
      </w:pPr>
      <w:r w:rsidRPr="009D005B">
        <w:rPr>
          <w:i/>
        </w:rPr>
        <w:t xml:space="preserve">Provedba </w:t>
      </w:r>
      <w:r w:rsidR="00BF44F4">
        <w:rPr>
          <w:i/>
        </w:rPr>
        <w:t>projekta je</w:t>
      </w:r>
      <w:r>
        <w:rPr>
          <w:i/>
        </w:rPr>
        <w:t xml:space="preserve"> </w:t>
      </w:r>
      <w:r w:rsidRPr="009D005B">
        <w:rPr>
          <w:i/>
        </w:rPr>
        <w:t>započela 20</w:t>
      </w:r>
      <w:r>
        <w:rPr>
          <w:i/>
        </w:rPr>
        <w:t>2</w:t>
      </w:r>
      <w:r w:rsidR="00BF44F4">
        <w:rPr>
          <w:i/>
        </w:rPr>
        <w:t>1</w:t>
      </w:r>
      <w:r>
        <w:rPr>
          <w:i/>
        </w:rPr>
        <w:t>.</w:t>
      </w:r>
      <w:r w:rsidRPr="009D005B">
        <w:rPr>
          <w:i/>
        </w:rPr>
        <w:t xml:space="preserve"> godine. </w:t>
      </w:r>
    </w:p>
    <w:p w14:paraId="7E8AC67D" w14:textId="77777777" w:rsidR="001F2B5D" w:rsidRPr="00524858" w:rsidRDefault="001F2B5D" w:rsidP="001F2B5D">
      <w:pPr>
        <w:spacing w:after="0"/>
        <w:jc w:val="both"/>
        <w:rPr>
          <w:i/>
        </w:rPr>
      </w:pPr>
    </w:p>
    <w:p w14:paraId="4DED90CF" w14:textId="67C68D58" w:rsidR="001F2B5D" w:rsidRDefault="001F2B5D" w:rsidP="001F2B5D">
      <w:pPr>
        <w:spacing w:after="0"/>
        <w:jc w:val="both"/>
        <w:rPr>
          <w:i/>
        </w:rPr>
      </w:pPr>
      <w:r w:rsidRPr="001F2B5D">
        <w:rPr>
          <w:i/>
        </w:rPr>
        <w:t>Svrha projekta je ojačavanje mreže seizmoloških postaja s posebnim naglaskom na bušotinske instrumente, podmorske instrumente i instrumente vrlo niske razine unutarnjeg šuma u pravilnoj mreži kao i nabava sve potrebne infrastrukturne i tehničke opreme za održivo korištenje iste. Projektom je predviđena nabava opreme potrebne Seizmološkoj službi kako bi se unaprijedila infrastruktura za proizvodnju i upravljanje podacima, poput nadogradnje mreže i IT infrastrukture, kao i aktivnosti jačanja organizacijskih kapaciteta. Pritom se ističu potrebe za prijenosnim analizatorima mikroseizmičkog nemira, terenska računala, instrumenata namijenjenih na postavljanje na dno Jadranskog mora, instrumenata namijenjenih za postavljanje u bušotine, instrumenata vrlo niske razine unutrašnjeg šuma, instrumenata niske razine šuma za postavljanje diljem Hrvatske, digitalizatori izuzetno niske razine šuma, akcelerografi za postavljanje uz navedene osjetljive instrumente te vezane uredske opreme za obradu podataka.</w:t>
      </w:r>
    </w:p>
    <w:p w14:paraId="7EC9317E" w14:textId="77777777" w:rsidR="001F2B5D" w:rsidRDefault="001F2B5D" w:rsidP="001F2B5D">
      <w:pPr>
        <w:spacing w:after="0"/>
        <w:jc w:val="both"/>
        <w:rPr>
          <w:i/>
        </w:rPr>
      </w:pPr>
    </w:p>
    <w:p w14:paraId="37C389B8" w14:textId="77777777" w:rsidR="001F2B5D" w:rsidRDefault="001F2B5D" w:rsidP="001F2B5D">
      <w:pPr>
        <w:spacing w:after="0"/>
        <w:jc w:val="both"/>
        <w:rPr>
          <w:i/>
        </w:rPr>
      </w:pPr>
      <w:r w:rsidRPr="009D005B">
        <w:rPr>
          <w:i/>
        </w:rPr>
        <w:t>Izračun financijskog plana:</w:t>
      </w:r>
      <w:r w:rsidRPr="00716BD7">
        <w:t xml:space="preserve"> </w:t>
      </w:r>
    </w:p>
    <w:p w14:paraId="782F2F88" w14:textId="2EE43F3F" w:rsidR="00A06A13" w:rsidRDefault="00A06A13" w:rsidP="00BF44F4">
      <w:pPr>
        <w:spacing w:after="0"/>
        <w:jc w:val="both"/>
        <w:rPr>
          <w:i/>
        </w:rPr>
      </w:pPr>
      <w:r>
        <w:rPr>
          <w:i/>
        </w:rPr>
        <w:t xml:space="preserve">Projekt je financiran iz </w:t>
      </w:r>
      <w:r w:rsidRPr="00A06A13">
        <w:rPr>
          <w:i/>
        </w:rPr>
        <w:t>Nacionalnog plana oporavka i otpornosti 2021.-2026. (</w:t>
      </w:r>
      <w:r>
        <w:rPr>
          <w:i/>
        </w:rPr>
        <w:t>Mehanizam oporavka i otpornosti</w:t>
      </w:r>
      <w:r w:rsidRPr="00A06A13">
        <w:rPr>
          <w:i/>
        </w:rPr>
        <w:t>) u okviru investicije C6.1.R4-I1 Razvoj mreže seizmoloških podataka obuhvaćene komponentom Obnova zgrada NPOO-a. Investicija  C6.1. R4-I1</w:t>
      </w:r>
      <w:r w:rsidR="001766FC">
        <w:rPr>
          <w:i/>
        </w:rPr>
        <w:t xml:space="preserve"> u iznosu od </w:t>
      </w:r>
      <w:r w:rsidR="00BF44F4" w:rsidRPr="00BF44F4">
        <w:rPr>
          <w:i/>
        </w:rPr>
        <w:t>10.883.270,16 EUR</w:t>
      </w:r>
      <w:r w:rsidR="00BF44F4">
        <w:rPr>
          <w:i/>
        </w:rPr>
        <w:t xml:space="preserve"> (</w:t>
      </w:r>
      <w:r w:rsidR="00BF44F4" w:rsidRPr="00BF44F4">
        <w:rPr>
          <w:i/>
        </w:rPr>
        <w:t>81.999.999,04</w:t>
      </w:r>
      <w:r w:rsidR="00BF44F4">
        <w:rPr>
          <w:i/>
        </w:rPr>
        <w:t xml:space="preserve"> kn)</w:t>
      </w:r>
      <w:r w:rsidR="00BF44F4" w:rsidRPr="00BF44F4">
        <w:rPr>
          <w:i/>
        </w:rPr>
        <w:t xml:space="preserve"> dok će se iz državnog proračuna financirati iznos od</w:t>
      </w:r>
      <w:r w:rsidR="00BF44F4">
        <w:rPr>
          <w:i/>
        </w:rPr>
        <w:t xml:space="preserve"> </w:t>
      </w:r>
      <w:r w:rsidR="00BF44F4" w:rsidRPr="00BF44F4">
        <w:rPr>
          <w:i/>
        </w:rPr>
        <w:t>2.261.691,28 EUR</w:t>
      </w:r>
      <w:r w:rsidR="00BF44F4">
        <w:rPr>
          <w:i/>
        </w:rPr>
        <w:t xml:space="preserve"> (</w:t>
      </w:r>
      <w:r w:rsidR="00BF44F4" w:rsidRPr="00BF44F4">
        <w:rPr>
          <w:i/>
        </w:rPr>
        <w:t xml:space="preserve">17.040.712,96 </w:t>
      </w:r>
      <w:r w:rsidR="00BF44F4">
        <w:rPr>
          <w:i/>
        </w:rPr>
        <w:t>kn).</w:t>
      </w:r>
    </w:p>
    <w:p w14:paraId="2861BDC8" w14:textId="7DC274E4" w:rsidR="00D35B23" w:rsidRDefault="001F2B5D" w:rsidP="00E55335">
      <w:pPr>
        <w:spacing w:after="0"/>
        <w:jc w:val="both"/>
        <w:rPr>
          <w:i/>
        </w:rPr>
      </w:pPr>
      <w:r>
        <w:rPr>
          <w:i/>
        </w:rPr>
        <w:t>Troškovi su planirani prema dinamici provedbe aktivnosti tijekom 2024.</w:t>
      </w:r>
      <w:r w:rsidR="001766FC">
        <w:rPr>
          <w:i/>
        </w:rPr>
        <w:t xml:space="preserve">, </w:t>
      </w:r>
      <w:r w:rsidR="00E55335">
        <w:rPr>
          <w:i/>
        </w:rPr>
        <w:t xml:space="preserve"> 2025.</w:t>
      </w:r>
      <w:r w:rsidR="001766FC">
        <w:rPr>
          <w:i/>
        </w:rPr>
        <w:t xml:space="preserve"> i 2026</w:t>
      </w:r>
      <w:r>
        <w:rPr>
          <w:i/>
        </w:rPr>
        <w:t xml:space="preserve"> godine.</w:t>
      </w:r>
    </w:p>
    <w:p w14:paraId="1AE84C55" w14:textId="77777777" w:rsidR="001766FC" w:rsidRDefault="001766FC" w:rsidP="00E55335">
      <w:pPr>
        <w:spacing w:after="0"/>
        <w:jc w:val="both"/>
        <w:rPr>
          <w:i/>
        </w:rPr>
      </w:pPr>
    </w:p>
    <w:p w14:paraId="0EC84D1D" w14:textId="77777777" w:rsidR="001766FC" w:rsidRDefault="001766FC" w:rsidP="00E55335">
      <w:pPr>
        <w:spacing w:after="0"/>
        <w:jc w:val="both"/>
        <w:rPr>
          <w:i/>
        </w:rPr>
      </w:pPr>
    </w:p>
    <w:p w14:paraId="7B80F0F0" w14:textId="567A77B9" w:rsidR="001766FC" w:rsidRDefault="00BF44F4" w:rsidP="00BF44F4">
      <w:pPr>
        <w:spacing w:after="0"/>
        <w:jc w:val="both"/>
        <w:rPr>
          <w:b/>
          <w:i/>
        </w:rPr>
      </w:pPr>
      <w:r w:rsidRPr="00BF44F4">
        <w:rPr>
          <w:b/>
          <w:i/>
        </w:rPr>
        <w:t xml:space="preserve">C6.1.R4 </w:t>
      </w:r>
      <w:r>
        <w:rPr>
          <w:b/>
          <w:i/>
        </w:rPr>
        <w:t xml:space="preserve"> </w:t>
      </w:r>
      <w:r w:rsidRPr="00BF44F4">
        <w:rPr>
          <w:b/>
          <w:i/>
        </w:rPr>
        <w:t>Modernizacija i integracija seizmičkih podataka za proces obnove i planiranje buduće gradnje te monitoring javne infrastrukture</w:t>
      </w:r>
    </w:p>
    <w:p w14:paraId="412E072F" w14:textId="77777777" w:rsidR="00BF44F4" w:rsidRDefault="00BF44F4" w:rsidP="00BF44F4">
      <w:pPr>
        <w:spacing w:after="0"/>
        <w:jc w:val="both"/>
        <w:rPr>
          <w:b/>
          <w:i/>
        </w:rPr>
      </w:pPr>
    </w:p>
    <w:p w14:paraId="1CA8151C" w14:textId="639FB698" w:rsidR="001766FC" w:rsidRDefault="00BF44F4" w:rsidP="001766FC">
      <w:pPr>
        <w:spacing w:after="0"/>
        <w:jc w:val="both"/>
        <w:rPr>
          <w:i/>
        </w:rPr>
      </w:pPr>
      <w:r>
        <w:rPr>
          <w:i/>
        </w:rPr>
        <w:t>Reforma</w:t>
      </w:r>
      <w:r w:rsidR="001766FC">
        <w:rPr>
          <w:i/>
        </w:rPr>
        <w:t xml:space="preserve"> se sastoji od sljedećih elemenata:</w:t>
      </w:r>
    </w:p>
    <w:p w14:paraId="133B8BF3" w14:textId="17FC62E5" w:rsidR="00BF44F4" w:rsidRPr="00BF44F4" w:rsidRDefault="00BF44F4" w:rsidP="00BF44F4">
      <w:pPr>
        <w:pStyle w:val="ListParagraph"/>
        <w:numPr>
          <w:ilvl w:val="0"/>
          <w:numId w:val="24"/>
        </w:numPr>
        <w:spacing w:after="0"/>
        <w:jc w:val="both"/>
        <w:rPr>
          <w:i/>
        </w:rPr>
      </w:pPr>
      <w:r w:rsidRPr="00BF44F4">
        <w:rPr>
          <w:i/>
        </w:rPr>
        <w:t xml:space="preserve">izrada Priručnika za integraciju seizmoloških podataka u sustav prostornog planiranja na lokalnoj i regionalnoj razini </w:t>
      </w:r>
    </w:p>
    <w:p w14:paraId="478E3C8F" w14:textId="77777777" w:rsidR="00BF44F4" w:rsidRDefault="00BF44F4" w:rsidP="00BF44F4">
      <w:pPr>
        <w:pStyle w:val="ListParagraph"/>
        <w:numPr>
          <w:ilvl w:val="0"/>
          <w:numId w:val="24"/>
        </w:numPr>
        <w:spacing w:after="0"/>
        <w:jc w:val="both"/>
        <w:rPr>
          <w:i/>
        </w:rPr>
      </w:pPr>
      <w:r w:rsidRPr="00BF44F4">
        <w:rPr>
          <w:i/>
        </w:rPr>
        <w:t>edukacija službenika i zaposlenika ministarstava, županijskih zavoda za prosto</w:t>
      </w:r>
      <w:r>
        <w:rPr>
          <w:i/>
        </w:rPr>
        <w:t>rn</w:t>
      </w:r>
      <w:r w:rsidRPr="00BF44F4">
        <w:rPr>
          <w:i/>
        </w:rPr>
        <w:t>o uređenje,</w:t>
      </w:r>
      <w:r>
        <w:rPr>
          <w:i/>
        </w:rPr>
        <w:t xml:space="preserve"> </w:t>
      </w:r>
      <w:r w:rsidRPr="00BF44F4">
        <w:rPr>
          <w:i/>
        </w:rPr>
        <w:t>upravnih odjela za prosto</w:t>
      </w:r>
      <w:r>
        <w:rPr>
          <w:i/>
        </w:rPr>
        <w:t>rn</w:t>
      </w:r>
      <w:r w:rsidRPr="00BF44F4">
        <w:rPr>
          <w:i/>
        </w:rPr>
        <w:t>o uređenje županija i velikih gradova i pravnih osoba ovlaštenih od</w:t>
      </w:r>
      <w:r>
        <w:rPr>
          <w:i/>
        </w:rPr>
        <w:t xml:space="preserve"> </w:t>
      </w:r>
      <w:r w:rsidRPr="00BF44F4">
        <w:rPr>
          <w:i/>
        </w:rPr>
        <w:t>Ministarstva za obavljanje stručnih poslova prosto</w:t>
      </w:r>
      <w:r>
        <w:rPr>
          <w:i/>
        </w:rPr>
        <w:t>rn</w:t>
      </w:r>
      <w:r w:rsidRPr="00BF44F4">
        <w:rPr>
          <w:i/>
        </w:rPr>
        <w:t>og uređenja, o obradi i primjeni podataka</w:t>
      </w:r>
      <w:r>
        <w:rPr>
          <w:i/>
        </w:rPr>
        <w:t xml:space="preserve"> </w:t>
      </w:r>
      <w:r w:rsidRPr="00BF44F4">
        <w:rPr>
          <w:i/>
        </w:rPr>
        <w:t>o seizmolo</w:t>
      </w:r>
      <w:r>
        <w:rPr>
          <w:i/>
        </w:rPr>
        <w:t>š</w:t>
      </w:r>
      <w:r w:rsidRPr="00BF44F4">
        <w:rPr>
          <w:i/>
        </w:rPr>
        <w:t xml:space="preserve">kim aktivnostima </w:t>
      </w:r>
    </w:p>
    <w:p w14:paraId="5DFA7D3F" w14:textId="57E628E1" w:rsidR="001766FC" w:rsidRPr="00BF44F4" w:rsidRDefault="00BF44F4" w:rsidP="004347F6">
      <w:pPr>
        <w:pStyle w:val="ListParagraph"/>
        <w:numPr>
          <w:ilvl w:val="0"/>
          <w:numId w:val="24"/>
        </w:numPr>
        <w:spacing w:after="0"/>
        <w:jc w:val="both"/>
        <w:rPr>
          <w:i/>
        </w:rPr>
      </w:pPr>
      <w:r w:rsidRPr="00BF44F4">
        <w:rPr>
          <w:i/>
        </w:rPr>
        <w:t>edukacija djelatnika Seizmološke službe pri Fakultetu za prikupljanje, obradu i analizu</w:t>
      </w:r>
      <w:r>
        <w:rPr>
          <w:i/>
        </w:rPr>
        <w:t xml:space="preserve"> </w:t>
      </w:r>
      <w:r w:rsidRPr="00BF44F4">
        <w:rPr>
          <w:i/>
        </w:rPr>
        <w:t xml:space="preserve">podataka o seizmološkim aktivnostima </w:t>
      </w:r>
      <w:r w:rsidR="001766FC" w:rsidRPr="00BF44F4">
        <w:rPr>
          <w:i/>
        </w:rPr>
        <w:cr/>
      </w:r>
    </w:p>
    <w:p w14:paraId="6DA3C28F" w14:textId="73F699E2" w:rsidR="001766FC" w:rsidRPr="00524858" w:rsidRDefault="001766FC" w:rsidP="001766FC">
      <w:pPr>
        <w:spacing w:after="0"/>
        <w:jc w:val="both"/>
        <w:rPr>
          <w:i/>
        </w:rPr>
      </w:pPr>
      <w:r w:rsidRPr="009D005B">
        <w:rPr>
          <w:i/>
        </w:rPr>
        <w:t xml:space="preserve">Provedba ove </w:t>
      </w:r>
      <w:r>
        <w:rPr>
          <w:i/>
        </w:rPr>
        <w:t xml:space="preserve">operacije </w:t>
      </w:r>
      <w:r w:rsidRPr="009D005B">
        <w:rPr>
          <w:i/>
        </w:rPr>
        <w:t>započela je 20</w:t>
      </w:r>
      <w:r>
        <w:rPr>
          <w:i/>
        </w:rPr>
        <w:t>2</w:t>
      </w:r>
      <w:r w:rsidR="00BF44F4">
        <w:rPr>
          <w:i/>
        </w:rPr>
        <w:t>3</w:t>
      </w:r>
      <w:r>
        <w:rPr>
          <w:i/>
        </w:rPr>
        <w:t>.</w:t>
      </w:r>
      <w:r w:rsidRPr="009D005B">
        <w:rPr>
          <w:i/>
        </w:rPr>
        <w:t xml:space="preserve"> godine. </w:t>
      </w:r>
    </w:p>
    <w:p w14:paraId="3E6BDEA3" w14:textId="77777777" w:rsidR="001766FC" w:rsidRPr="00524858" w:rsidRDefault="001766FC" w:rsidP="001766FC">
      <w:pPr>
        <w:spacing w:after="0"/>
        <w:jc w:val="both"/>
        <w:rPr>
          <w:i/>
        </w:rPr>
      </w:pPr>
    </w:p>
    <w:p w14:paraId="461D1661" w14:textId="6AB64AED" w:rsidR="001766FC" w:rsidRDefault="003C1992" w:rsidP="001766FC">
      <w:pPr>
        <w:spacing w:after="0"/>
        <w:jc w:val="both"/>
        <w:rPr>
          <w:i/>
        </w:rPr>
      </w:pPr>
      <w:r w:rsidRPr="003C1992">
        <w:rPr>
          <w:i/>
        </w:rPr>
        <w:t xml:space="preserve">Reforma je usmjerena na jačanje organizacijskih i infrastrukturnih kapaciteta Seizmološke službe za prikupljanje, obradu i analizu podataka o seizmološkim aktivnostima, jačanje organizacijskih i infrastrukturnih kapaciteta MPGI (te vezanih službi, zavoda i ureda na regionalnoj razini) kako bi se isti podaci adekvatno primijenili u prilagodbi sustavu prostornog uređenja i graditeljstva te provedbi njihovih aktivnosti i akata.  Reforma je u potpunosti kompatibilna s DNSH načelom te nema negativnog </w:t>
      </w:r>
      <w:r w:rsidRPr="003C1992">
        <w:rPr>
          <w:i/>
        </w:rPr>
        <w:lastRenderedPageBreak/>
        <w:t xml:space="preserve">utjecaja na okoliš, već doprinosi realizaciji energetskih, okolišnih i klimatskih ciljeva kroz provedbu aktivnosti povećanja znanja o seizmičkim aktivnostima. Postavljanje opreme vršit će se u već postojećim objektima.  </w:t>
      </w:r>
    </w:p>
    <w:p w14:paraId="43714560" w14:textId="3DD7C274" w:rsidR="003C1992" w:rsidRDefault="003C1992" w:rsidP="001766FC">
      <w:pPr>
        <w:spacing w:after="0"/>
        <w:jc w:val="both"/>
        <w:rPr>
          <w:i/>
        </w:rPr>
      </w:pPr>
      <w:r>
        <w:rPr>
          <w:i/>
        </w:rPr>
        <w:t>R</w:t>
      </w:r>
      <w:r w:rsidRPr="003C1992">
        <w:rPr>
          <w:i/>
        </w:rPr>
        <w:t>eforma ne uključuje nikakav oblik državnih potpora ni gospodarske aktivnosti već je cilj povećanje znanja u sustavu prostornog uređenja (nacionalne, regionalne i lokalne razine) u smislu integriranja seizmičkih podataka za planiranje budućeg razvoja, buduće izgradnje i praćenja javne infrastrukture.</w:t>
      </w:r>
    </w:p>
    <w:p w14:paraId="08495318" w14:textId="77777777" w:rsidR="003C1992" w:rsidRDefault="003C1992" w:rsidP="001766FC">
      <w:pPr>
        <w:spacing w:after="0"/>
        <w:jc w:val="both"/>
        <w:rPr>
          <w:i/>
        </w:rPr>
      </w:pPr>
    </w:p>
    <w:p w14:paraId="64F0729C" w14:textId="77777777" w:rsidR="001766FC" w:rsidRDefault="001766FC" w:rsidP="001766FC">
      <w:pPr>
        <w:spacing w:after="0"/>
        <w:jc w:val="both"/>
        <w:rPr>
          <w:i/>
        </w:rPr>
      </w:pPr>
      <w:r w:rsidRPr="009D005B">
        <w:rPr>
          <w:i/>
        </w:rPr>
        <w:t>Izračun financijskog plana:</w:t>
      </w:r>
      <w:r w:rsidRPr="00716BD7">
        <w:t xml:space="preserve"> </w:t>
      </w:r>
    </w:p>
    <w:p w14:paraId="7769AFAC" w14:textId="595F1491" w:rsidR="001766FC" w:rsidRDefault="001766FC" w:rsidP="001766FC">
      <w:pPr>
        <w:spacing w:after="0"/>
        <w:jc w:val="both"/>
        <w:rPr>
          <w:i/>
        </w:rPr>
      </w:pPr>
      <w:r>
        <w:rPr>
          <w:i/>
        </w:rPr>
        <w:t xml:space="preserve">Projekt je financiran iz </w:t>
      </w:r>
      <w:r w:rsidRPr="00A06A13">
        <w:rPr>
          <w:i/>
        </w:rPr>
        <w:t>Nacionalnog plana oporavka i otpornosti 2021.-2026. (</w:t>
      </w:r>
      <w:r>
        <w:rPr>
          <w:i/>
        </w:rPr>
        <w:t>Mehanizam oporavka i otpornosti</w:t>
      </w:r>
      <w:r w:rsidRPr="00A06A13">
        <w:rPr>
          <w:i/>
        </w:rPr>
        <w:t>) u okviru komponent</w:t>
      </w:r>
      <w:r w:rsidR="00BF0A40">
        <w:rPr>
          <w:i/>
        </w:rPr>
        <w:t>e</w:t>
      </w:r>
      <w:r w:rsidRPr="00A06A13">
        <w:rPr>
          <w:i/>
        </w:rPr>
        <w:t xml:space="preserve"> Obnova zgrada NPOO-a. Investicija  C6.1.R4</w:t>
      </w:r>
      <w:r w:rsidR="00BF0A40">
        <w:rPr>
          <w:i/>
        </w:rPr>
        <w:t xml:space="preserve"> i to u iznosu od 318.534,73 EUR (2.400.000,00 kn)</w:t>
      </w:r>
      <w:r>
        <w:rPr>
          <w:i/>
        </w:rPr>
        <w:t>.</w:t>
      </w:r>
    </w:p>
    <w:p w14:paraId="2C8553FE" w14:textId="76F0E39C" w:rsidR="001766FC" w:rsidRDefault="001766FC" w:rsidP="001766FC">
      <w:pPr>
        <w:spacing w:after="0"/>
        <w:jc w:val="both"/>
        <w:rPr>
          <w:i/>
        </w:rPr>
      </w:pPr>
      <w:r>
        <w:rPr>
          <w:i/>
        </w:rPr>
        <w:t>Troškovi su planirani prema dinamici provedbe aktivnosti tijekom 202</w:t>
      </w:r>
      <w:r w:rsidR="003C1992">
        <w:rPr>
          <w:i/>
        </w:rPr>
        <w:t>4</w:t>
      </w:r>
      <w:r>
        <w:rPr>
          <w:i/>
        </w:rPr>
        <w:t>. godine.</w:t>
      </w:r>
    </w:p>
    <w:p w14:paraId="6707570E" w14:textId="77777777" w:rsidR="001766FC" w:rsidRPr="00E55335" w:rsidRDefault="001766FC" w:rsidP="00E55335">
      <w:pPr>
        <w:spacing w:after="0"/>
        <w:jc w:val="both"/>
        <w:rPr>
          <w:i/>
        </w:rPr>
      </w:pPr>
    </w:p>
    <w:p w14:paraId="34741092" w14:textId="63AC7526" w:rsidR="00D35B23" w:rsidRDefault="00D35B23" w:rsidP="00F815A6">
      <w:pPr>
        <w:pStyle w:val="ListParagraph"/>
        <w:jc w:val="both"/>
        <w:rPr>
          <w:i/>
        </w:rPr>
      </w:pPr>
    </w:p>
    <w:p w14:paraId="74CBA027" w14:textId="77777777" w:rsidR="00F32C01" w:rsidRDefault="00F32C01" w:rsidP="00F815A6">
      <w:pPr>
        <w:pStyle w:val="ListParagraph"/>
        <w:jc w:val="both"/>
        <w:rPr>
          <w:i/>
        </w:rPr>
      </w:pPr>
    </w:p>
    <w:p w14:paraId="5C2BF870" w14:textId="50F7D2DA" w:rsidR="00D35B23" w:rsidRPr="00C170AE" w:rsidRDefault="00C170AE" w:rsidP="00C170AE">
      <w:pPr>
        <w:pStyle w:val="ListParagraph"/>
        <w:tabs>
          <w:tab w:val="left" w:pos="5730"/>
        </w:tabs>
        <w:jc w:val="both"/>
        <w:rPr>
          <w:i/>
          <w:sz w:val="24"/>
          <w:szCs w:val="24"/>
        </w:rPr>
      </w:pPr>
      <w:r w:rsidRPr="00C170AE">
        <w:rPr>
          <w:i/>
          <w:sz w:val="24"/>
          <w:szCs w:val="24"/>
        </w:rPr>
        <w:tab/>
      </w:r>
      <w:r>
        <w:rPr>
          <w:i/>
          <w:sz w:val="24"/>
          <w:szCs w:val="24"/>
        </w:rPr>
        <w:t xml:space="preserve">               </w:t>
      </w:r>
      <w:r w:rsidRPr="00C170AE">
        <w:rPr>
          <w:i/>
          <w:sz w:val="24"/>
          <w:szCs w:val="24"/>
        </w:rPr>
        <w:t>Dekan:</w:t>
      </w:r>
    </w:p>
    <w:p w14:paraId="37B11D2A" w14:textId="20B8A28F" w:rsidR="00D35B23" w:rsidRPr="00C170AE" w:rsidRDefault="00D35B23" w:rsidP="00F815A6">
      <w:pPr>
        <w:pStyle w:val="ListParagraph"/>
        <w:jc w:val="both"/>
        <w:rPr>
          <w:i/>
          <w:sz w:val="24"/>
          <w:szCs w:val="24"/>
        </w:rPr>
      </w:pPr>
    </w:p>
    <w:p w14:paraId="66411AAB" w14:textId="665058C4" w:rsidR="00D35B23" w:rsidRPr="00C170AE" w:rsidRDefault="00C170AE" w:rsidP="00C170AE">
      <w:pPr>
        <w:pStyle w:val="ListParagraph"/>
        <w:tabs>
          <w:tab w:val="left" w:pos="5685"/>
        </w:tabs>
        <w:jc w:val="both"/>
        <w:rPr>
          <w:i/>
          <w:sz w:val="24"/>
          <w:szCs w:val="24"/>
        </w:rPr>
      </w:pPr>
      <w:r w:rsidRPr="00C170AE">
        <w:rPr>
          <w:i/>
          <w:sz w:val="24"/>
          <w:szCs w:val="24"/>
        </w:rPr>
        <w:tab/>
      </w:r>
      <w:r>
        <w:rPr>
          <w:i/>
          <w:sz w:val="24"/>
          <w:szCs w:val="24"/>
        </w:rPr>
        <w:t xml:space="preserve">                </w:t>
      </w:r>
      <w:r w:rsidRPr="00C170AE">
        <w:rPr>
          <w:i/>
          <w:sz w:val="24"/>
          <w:szCs w:val="24"/>
        </w:rPr>
        <w:t>Prof. dr. sc. Mirko Planinić</w:t>
      </w:r>
    </w:p>
    <w:p w14:paraId="707EEADC" w14:textId="5004F148" w:rsidR="00D35B23" w:rsidRDefault="00D35B23" w:rsidP="00F815A6">
      <w:pPr>
        <w:pStyle w:val="ListParagraph"/>
        <w:jc w:val="both"/>
        <w:rPr>
          <w:i/>
        </w:rPr>
      </w:pPr>
    </w:p>
    <w:p w14:paraId="095D3830" w14:textId="584144A1" w:rsidR="00D35B23" w:rsidRDefault="00D35B23" w:rsidP="00F815A6">
      <w:pPr>
        <w:pStyle w:val="ListParagraph"/>
        <w:jc w:val="both"/>
        <w:rPr>
          <w:i/>
        </w:rPr>
      </w:pPr>
    </w:p>
    <w:p w14:paraId="5AF2C15C" w14:textId="2DF0BD57" w:rsidR="00D35B23" w:rsidRDefault="00D35B23" w:rsidP="00F815A6">
      <w:pPr>
        <w:pStyle w:val="ListParagraph"/>
        <w:jc w:val="both"/>
        <w:rPr>
          <w:i/>
        </w:rPr>
      </w:pPr>
    </w:p>
    <w:p w14:paraId="079C810F" w14:textId="1A0FD6BF" w:rsidR="00D35B23" w:rsidRDefault="00D35B23" w:rsidP="00F815A6">
      <w:pPr>
        <w:pStyle w:val="ListParagraph"/>
        <w:jc w:val="both"/>
        <w:rPr>
          <w:i/>
        </w:rPr>
      </w:pPr>
    </w:p>
    <w:p w14:paraId="6CAE1D00" w14:textId="6E9B6B01" w:rsidR="00D35B23" w:rsidRDefault="00D35B23" w:rsidP="00F815A6">
      <w:pPr>
        <w:pStyle w:val="ListParagraph"/>
        <w:jc w:val="both"/>
        <w:rPr>
          <w:i/>
        </w:rPr>
      </w:pPr>
    </w:p>
    <w:p w14:paraId="5B64F5AE" w14:textId="4B31F8D7" w:rsidR="00D35B23" w:rsidRDefault="00D35B23" w:rsidP="00F815A6">
      <w:pPr>
        <w:pStyle w:val="ListParagraph"/>
        <w:jc w:val="both"/>
        <w:rPr>
          <w:i/>
        </w:rPr>
      </w:pPr>
    </w:p>
    <w:p w14:paraId="572427C5" w14:textId="21169E57" w:rsidR="00D35B23" w:rsidRDefault="00D35B23" w:rsidP="00F815A6">
      <w:pPr>
        <w:pStyle w:val="ListParagraph"/>
        <w:jc w:val="both"/>
        <w:rPr>
          <w:i/>
        </w:rPr>
      </w:pPr>
    </w:p>
    <w:p w14:paraId="7BC5270D" w14:textId="55780772" w:rsidR="00D35B23" w:rsidRDefault="00D35B23" w:rsidP="00F815A6">
      <w:pPr>
        <w:pStyle w:val="ListParagraph"/>
        <w:jc w:val="both"/>
        <w:rPr>
          <w:i/>
        </w:rPr>
      </w:pPr>
    </w:p>
    <w:p w14:paraId="78C285A4" w14:textId="598DCDA0" w:rsidR="00D35B23" w:rsidRDefault="00D35B23" w:rsidP="00F815A6">
      <w:pPr>
        <w:pStyle w:val="ListParagraph"/>
        <w:jc w:val="both"/>
        <w:rPr>
          <w:i/>
        </w:rPr>
      </w:pPr>
    </w:p>
    <w:p w14:paraId="30166671" w14:textId="6664C56E" w:rsidR="00D35B23" w:rsidRDefault="00D35B23" w:rsidP="00F815A6">
      <w:pPr>
        <w:pStyle w:val="ListParagraph"/>
        <w:jc w:val="both"/>
        <w:rPr>
          <w:i/>
        </w:rPr>
      </w:pPr>
    </w:p>
    <w:p w14:paraId="42F6F8A2" w14:textId="17AD395E" w:rsidR="00D35B23" w:rsidRDefault="00D35B23" w:rsidP="00F815A6">
      <w:pPr>
        <w:pStyle w:val="ListParagraph"/>
        <w:jc w:val="both"/>
        <w:rPr>
          <w:i/>
        </w:rPr>
      </w:pPr>
    </w:p>
    <w:p w14:paraId="6B7E8ECE" w14:textId="713975DC" w:rsidR="00D35B23" w:rsidRDefault="00D35B23" w:rsidP="00F815A6">
      <w:pPr>
        <w:pStyle w:val="ListParagraph"/>
        <w:jc w:val="both"/>
        <w:rPr>
          <w:i/>
        </w:rPr>
      </w:pPr>
    </w:p>
    <w:sectPr w:rsidR="00D35B2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02FAA" w14:textId="77777777" w:rsidR="001471EB" w:rsidRDefault="001471EB">
      <w:pPr>
        <w:spacing w:after="0" w:line="240" w:lineRule="auto"/>
      </w:pPr>
      <w:r>
        <w:separator/>
      </w:r>
    </w:p>
  </w:endnote>
  <w:endnote w:type="continuationSeparator" w:id="0">
    <w:p w14:paraId="2186E82F" w14:textId="77777777" w:rsidR="001471EB" w:rsidRDefault="00147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EYInterstate Light">
    <w:altName w:val="Franklin Gothic Medium Cond"/>
    <w:charset w:val="EE"/>
    <w:family w:val="auto"/>
    <w:pitch w:val="variable"/>
    <w:sig w:usb0="00000001" w:usb1="5000206A"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
    <w:altName w:val="﷽﷽﷽﷽﷽﷽﷽﷽"/>
    <w:panose1 w:val="02020603050405020304"/>
    <w:charset w:val="EE"/>
    <w:family w:val="roman"/>
    <w:pitch w:val="variable"/>
    <w:sig w:usb0="00000007" w:usb1="00000000" w:usb2="00000000" w:usb3="00000000" w:csb0="00000093" w:csb1="00000000"/>
  </w:font>
  <w:font w:name="UniZgLight">
    <w:panose1 w:val="02000503000000020003"/>
    <w:charset w:val="EE"/>
    <w:family w:val="auto"/>
    <w:pitch w:val="variable"/>
    <w:sig w:usb0="8000002F" w:usb1="5000204B"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5515545"/>
      <w:docPartObj>
        <w:docPartGallery w:val="Page Numbers (Bottom of Page)"/>
        <w:docPartUnique/>
      </w:docPartObj>
    </w:sdtPr>
    <w:sdtContent>
      <w:p w14:paraId="55F8D0B6" w14:textId="77777777" w:rsidR="00A21AB7" w:rsidRDefault="009E2203">
        <w:pPr>
          <w:pStyle w:val="Footer"/>
          <w:jc w:val="right"/>
        </w:pPr>
        <w:r>
          <w:fldChar w:fldCharType="begin"/>
        </w:r>
        <w:r>
          <w:instrText>PAGE   \* MERGEFORMAT</w:instrText>
        </w:r>
        <w:r>
          <w:fldChar w:fldCharType="separate"/>
        </w:r>
        <w:r w:rsidR="00B64BA5">
          <w:rPr>
            <w:noProof/>
          </w:rPr>
          <w:t>8</w:t>
        </w:r>
        <w:r>
          <w:fldChar w:fldCharType="end"/>
        </w:r>
      </w:p>
    </w:sdtContent>
  </w:sdt>
  <w:p w14:paraId="456BAFCE" w14:textId="77777777" w:rsidR="00A21AB7" w:rsidRDefault="00A21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E5E60" w14:textId="77777777" w:rsidR="001471EB" w:rsidRDefault="001471EB">
      <w:pPr>
        <w:spacing w:after="0" w:line="240" w:lineRule="auto"/>
      </w:pPr>
      <w:r>
        <w:separator/>
      </w:r>
    </w:p>
  </w:footnote>
  <w:footnote w:type="continuationSeparator" w:id="0">
    <w:p w14:paraId="012F4C25" w14:textId="77777777" w:rsidR="001471EB" w:rsidRDefault="00147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37AC7"/>
    <w:multiLevelType w:val="hybridMultilevel"/>
    <w:tmpl w:val="E2BC04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91007"/>
    <w:multiLevelType w:val="multilevel"/>
    <w:tmpl w:val="2C10BB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FA73651"/>
    <w:multiLevelType w:val="hybridMultilevel"/>
    <w:tmpl w:val="2BBE645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223CC1D2">
      <w:start w:val="1"/>
      <w:numFmt w:val="bullet"/>
      <w:lvlText w:val="•"/>
      <w:lvlJc w:val="left"/>
      <w:pPr>
        <w:ind w:left="2880" w:hanging="360"/>
      </w:pPr>
      <w:rPr>
        <w:rFonts w:ascii="EYInterstate Light" w:hAnsi="EYInterstate Light"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CE5D75"/>
    <w:multiLevelType w:val="hybridMultilevel"/>
    <w:tmpl w:val="474A6E0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0C85E01"/>
    <w:multiLevelType w:val="multilevel"/>
    <w:tmpl w:val="232CC938"/>
    <w:lvl w:ilvl="0">
      <w:start w:val="1"/>
      <w:numFmt w:val="decimal"/>
      <w:lvlText w:val="%1."/>
      <w:lvlJc w:val="left"/>
      <w:pPr>
        <w:tabs>
          <w:tab w:val="num" w:pos="785"/>
        </w:tabs>
        <w:ind w:left="78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1B5D1E"/>
    <w:multiLevelType w:val="hybridMultilevel"/>
    <w:tmpl w:val="245A1D3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B139A9"/>
    <w:multiLevelType w:val="multilevel"/>
    <w:tmpl w:val="6BA64C2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B966095"/>
    <w:multiLevelType w:val="multilevel"/>
    <w:tmpl w:val="E832625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30405138"/>
    <w:multiLevelType w:val="hybridMultilevel"/>
    <w:tmpl w:val="465E17B2"/>
    <w:lvl w:ilvl="0" w:tplc="CA8AA484">
      <w:start w:val="4"/>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3B3253A"/>
    <w:multiLevelType w:val="multilevel"/>
    <w:tmpl w:val="92B0D55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C2C28A1"/>
    <w:multiLevelType w:val="hybridMultilevel"/>
    <w:tmpl w:val="D2DE08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F835420"/>
    <w:multiLevelType w:val="hybridMultilevel"/>
    <w:tmpl w:val="D2DE08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59A738A"/>
    <w:multiLevelType w:val="hybridMultilevel"/>
    <w:tmpl w:val="91E8DB32"/>
    <w:lvl w:ilvl="0" w:tplc="26DACEC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EFC56CC"/>
    <w:multiLevelType w:val="hybridMultilevel"/>
    <w:tmpl w:val="14C2CF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0AA498B"/>
    <w:multiLevelType w:val="multilevel"/>
    <w:tmpl w:val="215E6CB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552A0356"/>
    <w:multiLevelType w:val="multilevel"/>
    <w:tmpl w:val="49D84C8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5AAB09D8"/>
    <w:multiLevelType w:val="hybridMultilevel"/>
    <w:tmpl w:val="A9466A02"/>
    <w:lvl w:ilvl="0" w:tplc="26DACEC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D427838"/>
    <w:multiLevelType w:val="hybridMultilevel"/>
    <w:tmpl w:val="5BE2898C"/>
    <w:lvl w:ilvl="0" w:tplc="041A0001">
      <w:start w:val="1"/>
      <w:numFmt w:val="bullet"/>
      <w:lvlText w:val=""/>
      <w:lvlJc w:val="left"/>
      <w:pPr>
        <w:ind w:left="864" w:hanging="360"/>
      </w:pPr>
      <w:rPr>
        <w:rFonts w:ascii="Symbol" w:hAnsi="Symbol" w:hint="default"/>
      </w:rPr>
    </w:lvl>
    <w:lvl w:ilvl="1" w:tplc="041A0003" w:tentative="1">
      <w:start w:val="1"/>
      <w:numFmt w:val="bullet"/>
      <w:lvlText w:val="o"/>
      <w:lvlJc w:val="left"/>
      <w:pPr>
        <w:ind w:left="1584" w:hanging="360"/>
      </w:pPr>
      <w:rPr>
        <w:rFonts w:ascii="Courier New" w:hAnsi="Courier New" w:cs="Courier New" w:hint="default"/>
      </w:rPr>
    </w:lvl>
    <w:lvl w:ilvl="2" w:tplc="041A0005" w:tentative="1">
      <w:start w:val="1"/>
      <w:numFmt w:val="bullet"/>
      <w:lvlText w:val=""/>
      <w:lvlJc w:val="left"/>
      <w:pPr>
        <w:ind w:left="2304" w:hanging="360"/>
      </w:pPr>
      <w:rPr>
        <w:rFonts w:ascii="Wingdings" w:hAnsi="Wingdings" w:hint="default"/>
      </w:rPr>
    </w:lvl>
    <w:lvl w:ilvl="3" w:tplc="041A0001" w:tentative="1">
      <w:start w:val="1"/>
      <w:numFmt w:val="bullet"/>
      <w:lvlText w:val=""/>
      <w:lvlJc w:val="left"/>
      <w:pPr>
        <w:ind w:left="3024" w:hanging="360"/>
      </w:pPr>
      <w:rPr>
        <w:rFonts w:ascii="Symbol" w:hAnsi="Symbol" w:hint="default"/>
      </w:rPr>
    </w:lvl>
    <w:lvl w:ilvl="4" w:tplc="041A0003" w:tentative="1">
      <w:start w:val="1"/>
      <w:numFmt w:val="bullet"/>
      <w:lvlText w:val="o"/>
      <w:lvlJc w:val="left"/>
      <w:pPr>
        <w:ind w:left="3744" w:hanging="360"/>
      </w:pPr>
      <w:rPr>
        <w:rFonts w:ascii="Courier New" w:hAnsi="Courier New" w:cs="Courier New" w:hint="default"/>
      </w:rPr>
    </w:lvl>
    <w:lvl w:ilvl="5" w:tplc="041A0005" w:tentative="1">
      <w:start w:val="1"/>
      <w:numFmt w:val="bullet"/>
      <w:lvlText w:val=""/>
      <w:lvlJc w:val="left"/>
      <w:pPr>
        <w:ind w:left="4464" w:hanging="360"/>
      </w:pPr>
      <w:rPr>
        <w:rFonts w:ascii="Wingdings" w:hAnsi="Wingdings" w:hint="default"/>
      </w:rPr>
    </w:lvl>
    <w:lvl w:ilvl="6" w:tplc="041A0001" w:tentative="1">
      <w:start w:val="1"/>
      <w:numFmt w:val="bullet"/>
      <w:lvlText w:val=""/>
      <w:lvlJc w:val="left"/>
      <w:pPr>
        <w:ind w:left="5184" w:hanging="360"/>
      </w:pPr>
      <w:rPr>
        <w:rFonts w:ascii="Symbol" w:hAnsi="Symbol" w:hint="default"/>
      </w:rPr>
    </w:lvl>
    <w:lvl w:ilvl="7" w:tplc="041A0003" w:tentative="1">
      <w:start w:val="1"/>
      <w:numFmt w:val="bullet"/>
      <w:lvlText w:val="o"/>
      <w:lvlJc w:val="left"/>
      <w:pPr>
        <w:ind w:left="5904" w:hanging="360"/>
      </w:pPr>
      <w:rPr>
        <w:rFonts w:ascii="Courier New" w:hAnsi="Courier New" w:cs="Courier New" w:hint="default"/>
      </w:rPr>
    </w:lvl>
    <w:lvl w:ilvl="8" w:tplc="041A0005" w:tentative="1">
      <w:start w:val="1"/>
      <w:numFmt w:val="bullet"/>
      <w:lvlText w:val=""/>
      <w:lvlJc w:val="left"/>
      <w:pPr>
        <w:ind w:left="6624" w:hanging="360"/>
      </w:pPr>
      <w:rPr>
        <w:rFonts w:ascii="Wingdings" w:hAnsi="Wingdings" w:hint="default"/>
      </w:rPr>
    </w:lvl>
  </w:abstractNum>
  <w:abstractNum w:abstractNumId="18" w15:restartNumberingAfterBreak="0">
    <w:nsid w:val="64E025D1"/>
    <w:multiLevelType w:val="hybridMultilevel"/>
    <w:tmpl w:val="AA8E8F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7F90891"/>
    <w:multiLevelType w:val="hybridMultilevel"/>
    <w:tmpl w:val="4ECC709A"/>
    <w:lvl w:ilvl="0" w:tplc="26DACEC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06514E6"/>
    <w:multiLevelType w:val="hybridMultilevel"/>
    <w:tmpl w:val="E4C26C7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2BB4770"/>
    <w:multiLevelType w:val="hybridMultilevel"/>
    <w:tmpl w:val="44340B9A"/>
    <w:lvl w:ilvl="0" w:tplc="4290DE64">
      <w:start w:val="1"/>
      <w:numFmt w:val="decimal"/>
      <w:lvlText w:val="%1."/>
      <w:lvlJc w:val="left"/>
      <w:pPr>
        <w:ind w:left="720" w:hanging="360"/>
      </w:pPr>
      <w:rPr>
        <w:rFonts w:ascii="Times-Roman" w:eastAsia="Calibri" w:hAnsi="Times-Roman" w:cs="Times New Roman" w:hint="default"/>
        <w:color w:val="2E2E2F"/>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3D503D4"/>
    <w:multiLevelType w:val="hybridMultilevel"/>
    <w:tmpl w:val="0896D6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6A1451A"/>
    <w:multiLevelType w:val="hybridMultilevel"/>
    <w:tmpl w:val="D2DE08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B7D4C90"/>
    <w:multiLevelType w:val="multilevel"/>
    <w:tmpl w:val="DC065D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44762715">
    <w:abstractNumId w:val="13"/>
  </w:num>
  <w:num w:numId="2" w16cid:durableId="76484815">
    <w:abstractNumId w:val="20"/>
  </w:num>
  <w:num w:numId="3" w16cid:durableId="1452243535">
    <w:abstractNumId w:val="3"/>
  </w:num>
  <w:num w:numId="4" w16cid:durableId="135293867">
    <w:abstractNumId w:val="18"/>
  </w:num>
  <w:num w:numId="5" w16cid:durableId="265649920">
    <w:abstractNumId w:val="1"/>
  </w:num>
  <w:num w:numId="6" w16cid:durableId="1675062132">
    <w:abstractNumId w:val="2"/>
  </w:num>
  <w:num w:numId="7" w16cid:durableId="913199859">
    <w:abstractNumId w:val="10"/>
  </w:num>
  <w:num w:numId="8" w16cid:durableId="393969338">
    <w:abstractNumId w:val="23"/>
  </w:num>
  <w:num w:numId="9" w16cid:durableId="1148279192">
    <w:abstractNumId w:val="11"/>
  </w:num>
  <w:num w:numId="10" w16cid:durableId="172260243">
    <w:abstractNumId w:val="5"/>
  </w:num>
  <w:num w:numId="11" w16cid:durableId="405760868">
    <w:abstractNumId w:val="8"/>
  </w:num>
  <w:num w:numId="12" w16cid:durableId="560288617">
    <w:abstractNumId w:val="0"/>
  </w:num>
  <w:num w:numId="13" w16cid:durableId="1751925592">
    <w:abstractNumId w:val="21"/>
  </w:num>
  <w:num w:numId="14" w16cid:durableId="1024480241">
    <w:abstractNumId w:val="17"/>
  </w:num>
  <w:num w:numId="15" w16cid:durableId="719212774">
    <w:abstractNumId w:val="22"/>
  </w:num>
  <w:num w:numId="16" w16cid:durableId="1247811038">
    <w:abstractNumId w:val="9"/>
  </w:num>
  <w:num w:numId="17" w16cid:durableId="1915040729">
    <w:abstractNumId w:val="24"/>
  </w:num>
  <w:num w:numId="18" w16cid:durableId="1800683158">
    <w:abstractNumId w:val="6"/>
  </w:num>
  <w:num w:numId="19" w16cid:durableId="1163811845">
    <w:abstractNumId w:val="15"/>
  </w:num>
  <w:num w:numId="20" w16cid:durableId="2023896022">
    <w:abstractNumId w:val="14"/>
  </w:num>
  <w:num w:numId="21" w16cid:durableId="55714229">
    <w:abstractNumId w:val="7"/>
  </w:num>
  <w:num w:numId="22" w16cid:durableId="320430375">
    <w:abstractNumId w:val="19"/>
  </w:num>
  <w:num w:numId="23" w16cid:durableId="1111583222">
    <w:abstractNumId w:val="12"/>
  </w:num>
  <w:num w:numId="24" w16cid:durableId="841168971">
    <w:abstractNumId w:val="16"/>
  </w:num>
  <w:num w:numId="25" w16cid:durableId="7865101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5CF"/>
    <w:rsid w:val="00030327"/>
    <w:rsid w:val="0003673D"/>
    <w:rsid w:val="00044986"/>
    <w:rsid w:val="0006451E"/>
    <w:rsid w:val="00074694"/>
    <w:rsid w:val="00074DA6"/>
    <w:rsid w:val="000807B5"/>
    <w:rsid w:val="00082A88"/>
    <w:rsid w:val="00096B3B"/>
    <w:rsid w:val="000C443E"/>
    <w:rsid w:val="000F304B"/>
    <w:rsid w:val="00120537"/>
    <w:rsid w:val="001351BB"/>
    <w:rsid w:val="001471EB"/>
    <w:rsid w:val="00155AF1"/>
    <w:rsid w:val="00163067"/>
    <w:rsid w:val="001738E1"/>
    <w:rsid w:val="001763E1"/>
    <w:rsid w:val="001766FC"/>
    <w:rsid w:val="00194119"/>
    <w:rsid w:val="001A05FE"/>
    <w:rsid w:val="001A07ED"/>
    <w:rsid w:val="001A24C0"/>
    <w:rsid w:val="001A6B4D"/>
    <w:rsid w:val="001B0F7A"/>
    <w:rsid w:val="001B3688"/>
    <w:rsid w:val="001C1DB5"/>
    <w:rsid w:val="001C7774"/>
    <w:rsid w:val="001F2B5D"/>
    <w:rsid w:val="00211B52"/>
    <w:rsid w:val="00220BF7"/>
    <w:rsid w:val="00227D81"/>
    <w:rsid w:val="0023415F"/>
    <w:rsid w:val="002740BB"/>
    <w:rsid w:val="002C1C29"/>
    <w:rsid w:val="002C3BF5"/>
    <w:rsid w:val="002C7121"/>
    <w:rsid w:val="002D444E"/>
    <w:rsid w:val="002D44C5"/>
    <w:rsid w:val="002D4AC2"/>
    <w:rsid w:val="002F019B"/>
    <w:rsid w:val="003239CD"/>
    <w:rsid w:val="00324025"/>
    <w:rsid w:val="00325DE1"/>
    <w:rsid w:val="00334E56"/>
    <w:rsid w:val="00345660"/>
    <w:rsid w:val="00363549"/>
    <w:rsid w:val="00372D71"/>
    <w:rsid w:val="003A05C7"/>
    <w:rsid w:val="003B2CF0"/>
    <w:rsid w:val="003B59B1"/>
    <w:rsid w:val="003B5FE9"/>
    <w:rsid w:val="003C1992"/>
    <w:rsid w:val="003C1C62"/>
    <w:rsid w:val="003E36A0"/>
    <w:rsid w:val="00401BD2"/>
    <w:rsid w:val="00413F00"/>
    <w:rsid w:val="00420BDC"/>
    <w:rsid w:val="00423FC8"/>
    <w:rsid w:val="00454FE2"/>
    <w:rsid w:val="0046031C"/>
    <w:rsid w:val="00474EAA"/>
    <w:rsid w:val="004C3A59"/>
    <w:rsid w:val="004C4A57"/>
    <w:rsid w:val="004E02C5"/>
    <w:rsid w:val="004F14CE"/>
    <w:rsid w:val="00516FE4"/>
    <w:rsid w:val="00524858"/>
    <w:rsid w:val="00541F0B"/>
    <w:rsid w:val="00551B9F"/>
    <w:rsid w:val="00560ED1"/>
    <w:rsid w:val="00585281"/>
    <w:rsid w:val="00591C5E"/>
    <w:rsid w:val="005C7DDF"/>
    <w:rsid w:val="005E1425"/>
    <w:rsid w:val="005F6CA8"/>
    <w:rsid w:val="0060745E"/>
    <w:rsid w:val="00615C1D"/>
    <w:rsid w:val="006349D8"/>
    <w:rsid w:val="006A0A79"/>
    <w:rsid w:val="006A6138"/>
    <w:rsid w:val="006F2332"/>
    <w:rsid w:val="006F3DD8"/>
    <w:rsid w:val="00703212"/>
    <w:rsid w:val="00716BD7"/>
    <w:rsid w:val="00770CC2"/>
    <w:rsid w:val="007F20F0"/>
    <w:rsid w:val="00805AB2"/>
    <w:rsid w:val="00814DA1"/>
    <w:rsid w:val="00815DAF"/>
    <w:rsid w:val="008223B8"/>
    <w:rsid w:val="00824C26"/>
    <w:rsid w:val="00846E65"/>
    <w:rsid w:val="008532C6"/>
    <w:rsid w:val="00864D21"/>
    <w:rsid w:val="0087005D"/>
    <w:rsid w:val="008750BD"/>
    <w:rsid w:val="00886E2B"/>
    <w:rsid w:val="008B14AF"/>
    <w:rsid w:val="008B610C"/>
    <w:rsid w:val="008C6F7D"/>
    <w:rsid w:val="008D3E4A"/>
    <w:rsid w:val="008E4240"/>
    <w:rsid w:val="00923C33"/>
    <w:rsid w:val="00946B32"/>
    <w:rsid w:val="009800D6"/>
    <w:rsid w:val="0098747A"/>
    <w:rsid w:val="009A4C57"/>
    <w:rsid w:val="009A65A8"/>
    <w:rsid w:val="009C113A"/>
    <w:rsid w:val="009E2203"/>
    <w:rsid w:val="009E250A"/>
    <w:rsid w:val="009F2001"/>
    <w:rsid w:val="009F57BD"/>
    <w:rsid w:val="00A06A13"/>
    <w:rsid w:val="00A152BD"/>
    <w:rsid w:val="00A21AB7"/>
    <w:rsid w:val="00A5613E"/>
    <w:rsid w:val="00A65E65"/>
    <w:rsid w:val="00A72335"/>
    <w:rsid w:val="00A91525"/>
    <w:rsid w:val="00A97130"/>
    <w:rsid w:val="00AA1286"/>
    <w:rsid w:val="00AB3712"/>
    <w:rsid w:val="00AB5B96"/>
    <w:rsid w:val="00AD596E"/>
    <w:rsid w:val="00AE5585"/>
    <w:rsid w:val="00B111DE"/>
    <w:rsid w:val="00B15CD4"/>
    <w:rsid w:val="00B275BB"/>
    <w:rsid w:val="00B31A99"/>
    <w:rsid w:val="00B3612B"/>
    <w:rsid w:val="00B37013"/>
    <w:rsid w:val="00B502E5"/>
    <w:rsid w:val="00B62832"/>
    <w:rsid w:val="00B64BA5"/>
    <w:rsid w:val="00B669F0"/>
    <w:rsid w:val="00B7598C"/>
    <w:rsid w:val="00BA6DB0"/>
    <w:rsid w:val="00BA6FC4"/>
    <w:rsid w:val="00BB47B9"/>
    <w:rsid w:val="00BC1205"/>
    <w:rsid w:val="00BC3B1A"/>
    <w:rsid w:val="00BD4566"/>
    <w:rsid w:val="00BD7FDD"/>
    <w:rsid w:val="00BE08D5"/>
    <w:rsid w:val="00BE3C5D"/>
    <w:rsid w:val="00BE741E"/>
    <w:rsid w:val="00BF0A40"/>
    <w:rsid w:val="00BF44F4"/>
    <w:rsid w:val="00C118D5"/>
    <w:rsid w:val="00C156AB"/>
    <w:rsid w:val="00C170AE"/>
    <w:rsid w:val="00C360A1"/>
    <w:rsid w:val="00C44833"/>
    <w:rsid w:val="00C47C67"/>
    <w:rsid w:val="00C5721A"/>
    <w:rsid w:val="00C84559"/>
    <w:rsid w:val="00C97C02"/>
    <w:rsid w:val="00CA5512"/>
    <w:rsid w:val="00CB285B"/>
    <w:rsid w:val="00CB764D"/>
    <w:rsid w:val="00CC2200"/>
    <w:rsid w:val="00CD2A78"/>
    <w:rsid w:val="00CF2D12"/>
    <w:rsid w:val="00D072E0"/>
    <w:rsid w:val="00D20690"/>
    <w:rsid w:val="00D35B23"/>
    <w:rsid w:val="00D716CA"/>
    <w:rsid w:val="00D80918"/>
    <w:rsid w:val="00DA6B42"/>
    <w:rsid w:val="00DA7AFE"/>
    <w:rsid w:val="00DC6403"/>
    <w:rsid w:val="00DC6707"/>
    <w:rsid w:val="00DD71DD"/>
    <w:rsid w:val="00DE13FA"/>
    <w:rsid w:val="00DE3DCC"/>
    <w:rsid w:val="00DE6C4D"/>
    <w:rsid w:val="00E075F4"/>
    <w:rsid w:val="00E07809"/>
    <w:rsid w:val="00E16FD6"/>
    <w:rsid w:val="00E55335"/>
    <w:rsid w:val="00E55C76"/>
    <w:rsid w:val="00E65366"/>
    <w:rsid w:val="00E86D90"/>
    <w:rsid w:val="00EA1B3E"/>
    <w:rsid w:val="00EA7B2B"/>
    <w:rsid w:val="00EC2B56"/>
    <w:rsid w:val="00EE75CF"/>
    <w:rsid w:val="00EF05CF"/>
    <w:rsid w:val="00EF0A99"/>
    <w:rsid w:val="00F12286"/>
    <w:rsid w:val="00F23B5F"/>
    <w:rsid w:val="00F32C01"/>
    <w:rsid w:val="00F4078D"/>
    <w:rsid w:val="00F44823"/>
    <w:rsid w:val="00F66794"/>
    <w:rsid w:val="00F815A6"/>
    <w:rsid w:val="00F837CC"/>
    <w:rsid w:val="00F87AAC"/>
    <w:rsid w:val="00FB374C"/>
    <w:rsid w:val="00FC4877"/>
    <w:rsid w:val="00FC6714"/>
    <w:rsid w:val="00FD369C"/>
    <w:rsid w:val="00FD44B4"/>
    <w:rsid w:val="00FE5267"/>
    <w:rsid w:val="00FE5A66"/>
    <w:rsid w:val="00FF2288"/>
    <w:rsid w:val="00FF61ED"/>
    <w:rsid w:val="00FF64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D9FC"/>
  <w15:chartTrackingRefBased/>
  <w15:docId w15:val="{FD8EDEDB-B9BD-40E3-B3AC-00D9923B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366"/>
  </w:style>
  <w:style w:type="paragraph" w:styleId="Heading1">
    <w:name w:val="heading 1"/>
    <w:basedOn w:val="Normal"/>
    <w:next w:val="Normal"/>
    <w:link w:val="Heading1Char"/>
    <w:uiPriority w:val="9"/>
    <w:qFormat/>
    <w:rsid w:val="00D206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link w:val="Heading5Char"/>
    <w:uiPriority w:val="9"/>
    <w:qFormat/>
    <w:rsid w:val="00923C33"/>
    <w:pPr>
      <w:spacing w:before="100" w:beforeAutospacing="1" w:after="100" w:afterAutospacing="1" w:line="240" w:lineRule="auto"/>
      <w:outlineLvl w:val="4"/>
    </w:pPr>
    <w:rPr>
      <w:rFonts w:ascii="Times New Roman" w:eastAsia="Times New Roman" w:hAnsi="Times New Roman" w:cs="Times New Roman"/>
      <w:b/>
      <w:bCs/>
      <w:sz w:val="20"/>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EF05CF"/>
    <w:pPr>
      <w:tabs>
        <w:tab w:val="center" w:pos="4536"/>
        <w:tab w:val="right" w:pos="9072"/>
      </w:tabs>
      <w:spacing w:after="0" w:line="240" w:lineRule="auto"/>
    </w:pPr>
  </w:style>
  <w:style w:type="character" w:customStyle="1" w:styleId="FooterChar">
    <w:name w:val="Footer Char"/>
    <w:basedOn w:val="DefaultParagraphFont"/>
    <w:link w:val="Footer"/>
    <w:rsid w:val="00EF05CF"/>
  </w:style>
  <w:style w:type="table" w:styleId="TableGrid">
    <w:name w:val="Table Grid"/>
    <w:basedOn w:val="TableNormal"/>
    <w:uiPriority w:val="39"/>
    <w:rsid w:val="00EF0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List Paragraph1"/>
    <w:basedOn w:val="Normal"/>
    <w:link w:val="ListParagraphChar"/>
    <w:uiPriority w:val="34"/>
    <w:qFormat/>
    <w:rsid w:val="00EF05CF"/>
    <w:pPr>
      <w:ind w:left="720"/>
      <w:contextualSpacing/>
    </w:pPr>
  </w:style>
  <w:style w:type="character" w:customStyle="1" w:styleId="ListParagraphChar">
    <w:name w:val="List Paragraph Char"/>
    <w:aliases w:val="Bullet point Char,List Paragraph1 Char"/>
    <w:link w:val="ListParagraph"/>
    <w:uiPriority w:val="34"/>
    <w:locked/>
    <w:rsid w:val="00B275BB"/>
  </w:style>
  <w:style w:type="paragraph" w:styleId="NormalWeb">
    <w:name w:val="Normal (Web)"/>
    <w:basedOn w:val="Normal"/>
    <w:uiPriority w:val="99"/>
    <w:unhideWhenUsed/>
    <w:rsid w:val="00B275BB"/>
    <w:pPr>
      <w:spacing w:before="100" w:beforeAutospacing="1" w:after="100" w:afterAutospacing="1" w:line="240" w:lineRule="auto"/>
    </w:pPr>
    <w:rPr>
      <w:rFonts w:ascii="Times" w:hAnsi="Times" w:cs="Times New Roman"/>
      <w:sz w:val="20"/>
      <w:szCs w:val="20"/>
      <w:lang w:val="en-US"/>
    </w:rPr>
  </w:style>
  <w:style w:type="paragraph" w:styleId="Header">
    <w:name w:val="header"/>
    <w:basedOn w:val="Normal"/>
    <w:link w:val="HeaderChar"/>
    <w:rsid w:val="00560ED1"/>
    <w:pPr>
      <w:tabs>
        <w:tab w:val="center" w:pos="4153"/>
        <w:tab w:val="right" w:pos="8306"/>
      </w:tabs>
      <w:spacing w:after="0" w:line="240" w:lineRule="auto"/>
    </w:pPr>
    <w:rPr>
      <w:rFonts w:ascii="Times New Roman" w:eastAsia="Times New Roman" w:hAnsi="Times New Roman" w:cs="Times New Roman"/>
      <w:sz w:val="24"/>
      <w:szCs w:val="20"/>
      <w:lang w:eastAsia="hr-HR"/>
    </w:rPr>
  </w:style>
  <w:style w:type="character" w:customStyle="1" w:styleId="HeaderChar">
    <w:name w:val="Header Char"/>
    <w:basedOn w:val="DefaultParagraphFont"/>
    <w:link w:val="Header"/>
    <w:rsid w:val="00560ED1"/>
    <w:rPr>
      <w:rFonts w:ascii="Times New Roman" w:eastAsia="Times New Roman" w:hAnsi="Times New Roman" w:cs="Times New Roman"/>
      <w:sz w:val="24"/>
      <w:szCs w:val="20"/>
      <w:lang w:eastAsia="hr-HR"/>
    </w:rPr>
  </w:style>
  <w:style w:type="character" w:styleId="Hyperlink">
    <w:name w:val="Hyperlink"/>
    <w:rsid w:val="00560ED1"/>
    <w:rPr>
      <w:color w:val="0000FF"/>
      <w:u w:val="single"/>
    </w:rPr>
  </w:style>
  <w:style w:type="character" w:customStyle="1" w:styleId="Heading5Char">
    <w:name w:val="Heading 5 Char"/>
    <w:basedOn w:val="DefaultParagraphFont"/>
    <w:link w:val="Heading5"/>
    <w:uiPriority w:val="9"/>
    <w:rsid w:val="00923C33"/>
    <w:rPr>
      <w:rFonts w:ascii="Times New Roman" w:eastAsia="Times New Roman" w:hAnsi="Times New Roman" w:cs="Times New Roman"/>
      <w:b/>
      <w:bCs/>
      <w:sz w:val="20"/>
      <w:szCs w:val="20"/>
      <w:lang w:eastAsia="hr-HR"/>
    </w:rPr>
  </w:style>
  <w:style w:type="character" w:styleId="CommentReference">
    <w:name w:val="annotation reference"/>
    <w:basedOn w:val="DefaultParagraphFont"/>
    <w:uiPriority w:val="99"/>
    <w:semiHidden/>
    <w:unhideWhenUsed/>
    <w:rsid w:val="003A05C7"/>
    <w:rPr>
      <w:sz w:val="16"/>
      <w:szCs w:val="16"/>
    </w:rPr>
  </w:style>
  <w:style w:type="paragraph" w:styleId="CommentText">
    <w:name w:val="annotation text"/>
    <w:basedOn w:val="Normal"/>
    <w:link w:val="CommentTextChar"/>
    <w:uiPriority w:val="99"/>
    <w:unhideWhenUsed/>
    <w:rsid w:val="003A05C7"/>
    <w:pPr>
      <w:spacing w:line="240" w:lineRule="auto"/>
    </w:pPr>
    <w:rPr>
      <w:sz w:val="20"/>
      <w:szCs w:val="20"/>
    </w:rPr>
  </w:style>
  <w:style w:type="character" w:customStyle="1" w:styleId="CommentTextChar">
    <w:name w:val="Comment Text Char"/>
    <w:basedOn w:val="DefaultParagraphFont"/>
    <w:link w:val="CommentText"/>
    <w:uiPriority w:val="99"/>
    <w:rsid w:val="003A05C7"/>
    <w:rPr>
      <w:sz w:val="20"/>
      <w:szCs w:val="20"/>
    </w:rPr>
  </w:style>
  <w:style w:type="paragraph" w:styleId="CommentSubject">
    <w:name w:val="annotation subject"/>
    <w:basedOn w:val="CommentText"/>
    <w:next w:val="CommentText"/>
    <w:link w:val="CommentSubjectChar"/>
    <w:uiPriority w:val="99"/>
    <w:semiHidden/>
    <w:unhideWhenUsed/>
    <w:rsid w:val="003A05C7"/>
    <w:rPr>
      <w:b/>
      <w:bCs/>
    </w:rPr>
  </w:style>
  <w:style w:type="character" w:customStyle="1" w:styleId="CommentSubjectChar">
    <w:name w:val="Comment Subject Char"/>
    <w:basedOn w:val="CommentTextChar"/>
    <w:link w:val="CommentSubject"/>
    <w:uiPriority w:val="99"/>
    <w:semiHidden/>
    <w:rsid w:val="003A05C7"/>
    <w:rPr>
      <w:b/>
      <w:bCs/>
      <w:sz w:val="20"/>
      <w:szCs w:val="20"/>
    </w:rPr>
  </w:style>
  <w:style w:type="paragraph" w:customStyle="1" w:styleId="xmsonormal">
    <w:name w:val="x_msonormal"/>
    <w:basedOn w:val="Normal"/>
    <w:rsid w:val="00325DE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listparagraph">
    <w:name w:val="x_msolistparagraph"/>
    <w:basedOn w:val="Normal"/>
    <w:rsid w:val="00325DE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1Char">
    <w:name w:val="Heading 1 Char"/>
    <w:basedOn w:val="DefaultParagraphFont"/>
    <w:link w:val="Heading1"/>
    <w:uiPriority w:val="9"/>
    <w:rsid w:val="00D2069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02499">
      <w:bodyDiv w:val="1"/>
      <w:marLeft w:val="0"/>
      <w:marRight w:val="0"/>
      <w:marTop w:val="0"/>
      <w:marBottom w:val="0"/>
      <w:divBdr>
        <w:top w:val="none" w:sz="0" w:space="0" w:color="auto"/>
        <w:left w:val="none" w:sz="0" w:space="0" w:color="auto"/>
        <w:bottom w:val="none" w:sz="0" w:space="0" w:color="auto"/>
        <w:right w:val="none" w:sz="0" w:space="0" w:color="auto"/>
      </w:divBdr>
    </w:div>
    <w:div w:id="166940603">
      <w:bodyDiv w:val="1"/>
      <w:marLeft w:val="0"/>
      <w:marRight w:val="0"/>
      <w:marTop w:val="0"/>
      <w:marBottom w:val="0"/>
      <w:divBdr>
        <w:top w:val="none" w:sz="0" w:space="0" w:color="auto"/>
        <w:left w:val="none" w:sz="0" w:space="0" w:color="auto"/>
        <w:bottom w:val="none" w:sz="0" w:space="0" w:color="auto"/>
        <w:right w:val="none" w:sz="0" w:space="0" w:color="auto"/>
      </w:divBdr>
    </w:div>
    <w:div w:id="450516080">
      <w:bodyDiv w:val="1"/>
      <w:marLeft w:val="0"/>
      <w:marRight w:val="0"/>
      <w:marTop w:val="0"/>
      <w:marBottom w:val="0"/>
      <w:divBdr>
        <w:top w:val="none" w:sz="0" w:space="0" w:color="auto"/>
        <w:left w:val="none" w:sz="0" w:space="0" w:color="auto"/>
        <w:bottom w:val="none" w:sz="0" w:space="0" w:color="auto"/>
        <w:right w:val="none" w:sz="0" w:space="0" w:color="auto"/>
      </w:divBdr>
    </w:div>
    <w:div w:id="598483906">
      <w:bodyDiv w:val="1"/>
      <w:marLeft w:val="0"/>
      <w:marRight w:val="0"/>
      <w:marTop w:val="0"/>
      <w:marBottom w:val="0"/>
      <w:divBdr>
        <w:top w:val="none" w:sz="0" w:space="0" w:color="auto"/>
        <w:left w:val="none" w:sz="0" w:space="0" w:color="auto"/>
        <w:bottom w:val="none" w:sz="0" w:space="0" w:color="auto"/>
        <w:right w:val="none" w:sz="0" w:space="0" w:color="auto"/>
      </w:divBdr>
    </w:div>
    <w:div w:id="693383915">
      <w:bodyDiv w:val="1"/>
      <w:marLeft w:val="0"/>
      <w:marRight w:val="0"/>
      <w:marTop w:val="0"/>
      <w:marBottom w:val="0"/>
      <w:divBdr>
        <w:top w:val="none" w:sz="0" w:space="0" w:color="auto"/>
        <w:left w:val="none" w:sz="0" w:space="0" w:color="auto"/>
        <w:bottom w:val="none" w:sz="0" w:space="0" w:color="auto"/>
        <w:right w:val="none" w:sz="0" w:space="0" w:color="auto"/>
      </w:divBdr>
    </w:div>
    <w:div w:id="744839795">
      <w:bodyDiv w:val="1"/>
      <w:marLeft w:val="0"/>
      <w:marRight w:val="0"/>
      <w:marTop w:val="0"/>
      <w:marBottom w:val="0"/>
      <w:divBdr>
        <w:top w:val="none" w:sz="0" w:space="0" w:color="auto"/>
        <w:left w:val="none" w:sz="0" w:space="0" w:color="auto"/>
        <w:bottom w:val="none" w:sz="0" w:space="0" w:color="auto"/>
        <w:right w:val="none" w:sz="0" w:space="0" w:color="auto"/>
      </w:divBdr>
    </w:div>
    <w:div w:id="1097555087">
      <w:bodyDiv w:val="1"/>
      <w:marLeft w:val="0"/>
      <w:marRight w:val="0"/>
      <w:marTop w:val="0"/>
      <w:marBottom w:val="0"/>
      <w:divBdr>
        <w:top w:val="none" w:sz="0" w:space="0" w:color="auto"/>
        <w:left w:val="none" w:sz="0" w:space="0" w:color="auto"/>
        <w:bottom w:val="none" w:sz="0" w:space="0" w:color="auto"/>
        <w:right w:val="none" w:sz="0" w:space="0" w:color="auto"/>
      </w:divBdr>
    </w:div>
    <w:div w:id="1214005622">
      <w:bodyDiv w:val="1"/>
      <w:marLeft w:val="0"/>
      <w:marRight w:val="0"/>
      <w:marTop w:val="0"/>
      <w:marBottom w:val="0"/>
      <w:divBdr>
        <w:top w:val="none" w:sz="0" w:space="0" w:color="auto"/>
        <w:left w:val="none" w:sz="0" w:space="0" w:color="auto"/>
        <w:bottom w:val="none" w:sz="0" w:space="0" w:color="auto"/>
        <w:right w:val="none" w:sz="0" w:space="0" w:color="auto"/>
      </w:divBdr>
      <w:divsChild>
        <w:div w:id="1182083020">
          <w:marLeft w:val="0"/>
          <w:marRight w:val="0"/>
          <w:marTop w:val="0"/>
          <w:marBottom w:val="0"/>
          <w:divBdr>
            <w:top w:val="none" w:sz="0" w:space="0" w:color="auto"/>
            <w:left w:val="none" w:sz="0" w:space="0" w:color="auto"/>
            <w:bottom w:val="none" w:sz="0" w:space="0" w:color="auto"/>
            <w:right w:val="none" w:sz="0" w:space="0" w:color="auto"/>
          </w:divBdr>
          <w:divsChild>
            <w:div w:id="122213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998993">
      <w:bodyDiv w:val="1"/>
      <w:marLeft w:val="0"/>
      <w:marRight w:val="0"/>
      <w:marTop w:val="0"/>
      <w:marBottom w:val="0"/>
      <w:divBdr>
        <w:top w:val="none" w:sz="0" w:space="0" w:color="auto"/>
        <w:left w:val="none" w:sz="0" w:space="0" w:color="auto"/>
        <w:bottom w:val="none" w:sz="0" w:space="0" w:color="auto"/>
        <w:right w:val="none" w:sz="0" w:space="0" w:color="auto"/>
      </w:divBdr>
    </w:div>
    <w:div w:id="1533303789">
      <w:bodyDiv w:val="1"/>
      <w:marLeft w:val="0"/>
      <w:marRight w:val="0"/>
      <w:marTop w:val="0"/>
      <w:marBottom w:val="0"/>
      <w:divBdr>
        <w:top w:val="none" w:sz="0" w:space="0" w:color="auto"/>
        <w:left w:val="none" w:sz="0" w:space="0" w:color="auto"/>
        <w:bottom w:val="none" w:sz="0" w:space="0" w:color="auto"/>
        <w:right w:val="none" w:sz="0" w:space="0" w:color="auto"/>
      </w:divBdr>
    </w:div>
    <w:div w:id="1717776312">
      <w:bodyDiv w:val="1"/>
      <w:marLeft w:val="0"/>
      <w:marRight w:val="0"/>
      <w:marTop w:val="0"/>
      <w:marBottom w:val="0"/>
      <w:divBdr>
        <w:top w:val="none" w:sz="0" w:space="0" w:color="auto"/>
        <w:left w:val="none" w:sz="0" w:space="0" w:color="auto"/>
        <w:bottom w:val="none" w:sz="0" w:space="0" w:color="auto"/>
        <w:right w:val="none" w:sz="0" w:space="0" w:color="auto"/>
      </w:divBdr>
    </w:div>
    <w:div w:id="1721594047">
      <w:bodyDiv w:val="1"/>
      <w:marLeft w:val="0"/>
      <w:marRight w:val="0"/>
      <w:marTop w:val="0"/>
      <w:marBottom w:val="0"/>
      <w:divBdr>
        <w:top w:val="none" w:sz="0" w:space="0" w:color="auto"/>
        <w:left w:val="none" w:sz="0" w:space="0" w:color="auto"/>
        <w:bottom w:val="none" w:sz="0" w:space="0" w:color="auto"/>
        <w:right w:val="none" w:sz="0" w:space="0" w:color="auto"/>
      </w:divBdr>
    </w:div>
    <w:div w:id="189735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kanat@dekanat.pmf.h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15</Pages>
  <Words>4878</Words>
  <Characters>27806</Characters>
  <Application>Microsoft Office Word</Application>
  <DocSecurity>0</DocSecurity>
  <Lines>231</Lines>
  <Paragraphs>65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Zagorac</dc:creator>
  <cp:keywords/>
  <dc:description/>
  <cp:lastModifiedBy>Selmira Šećibović</cp:lastModifiedBy>
  <cp:revision>11</cp:revision>
  <cp:lastPrinted>2023-10-06T08:18:00Z</cp:lastPrinted>
  <dcterms:created xsi:type="dcterms:W3CDTF">2023-10-05T13:22:00Z</dcterms:created>
  <dcterms:modified xsi:type="dcterms:W3CDTF">2023-12-18T21:27:00Z</dcterms:modified>
</cp:coreProperties>
</file>