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4715" w14:textId="77777777" w:rsidR="00940D56" w:rsidRPr="00225313" w:rsidRDefault="00940D56" w:rsidP="00940D56">
      <w:pPr>
        <w:jc w:val="center"/>
        <w:rPr>
          <w:rFonts w:ascii="Arial Narrow" w:hAnsi="Arial Narrow" w:cs="Arial"/>
          <w:lang w:val="hr-HR"/>
        </w:rPr>
      </w:pPr>
      <w:r w:rsidRPr="00225313">
        <w:rPr>
          <w:rFonts w:ascii="Arial Narrow" w:hAnsi="Arial Narrow" w:cs="Arial"/>
          <w:noProof/>
          <w:lang w:val="hr-HR" w:eastAsia="hr-HR"/>
        </w:rPr>
        <w:drawing>
          <wp:inline distT="0" distB="0" distL="0" distR="0" wp14:anchorId="656295F8" wp14:editId="12204096">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485CA4EE" w14:textId="77777777" w:rsidR="00940D56" w:rsidRPr="00225313" w:rsidRDefault="00940D56" w:rsidP="00940D56">
      <w:pPr>
        <w:jc w:val="center"/>
        <w:rPr>
          <w:sz w:val="32"/>
          <w:szCs w:val="32"/>
          <w:lang w:val="hr-HR"/>
        </w:rPr>
      </w:pPr>
      <w:r w:rsidRPr="00225313">
        <w:rPr>
          <w:sz w:val="32"/>
          <w:szCs w:val="32"/>
          <w:lang w:val="hr-HR"/>
        </w:rPr>
        <w:t>PRIRODOSLOVNO-MATEMATIČKI FAKULTET</w:t>
      </w:r>
    </w:p>
    <w:p w14:paraId="2530100F" w14:textId="77777777" w:rsidR="00940D56" w:rsidRPr="00225313" w:rsidRDefault="00940D56" w:rsidP="00940D56">
      <w:pPr>
        <w:jc w:val="center"/>
        <w:rPr>
          <w:sz w:val="28"/>
          <w:szCs w:val="28"/>
          <w:lang w:val="hr-HR"/>
        </w:rPr>
      </w:pPr>
      <w:r w:rsidRPr="00225313">
        <w:rPr>
          <w:sz w:val="32"/>
          <w:szCs w:val="32"/>
          <w:lang w:val="hr-HR"/>
        </w:rPr>
        <w:t>Kemijski odsjek</w:t>
      </w:r>
    </w:p>
    <w:p w14:paraId="4AB9FA5C" w14:textId="77777777" w:rsidR="00940D56" w:rsidRPr="00225313" w:rsidRDefault="00940D56" w:rsidP="00940D56">
      <w:pPr>
        <w:jc w:val="center"/>
        <w:rPr>
          <w:sz w:val="32"/>
          <w:szCs w:val="32"/>
          <w:lang w:val="hr-HR"/>
        </w:rPr>
      </w:pPr>
    </w:p>
    <w:p w14:paraId="560E0F9C" w14:textId="77777777" w:rsidR="00195AED" w:rsidRPr="00225313" w:rsidRDefault="00195AED" w:rsidP="00940D56">
      <w:pPr>
        <w:rPr>
          <w:sz w:val="32"/>
          <w:szCs w:val="32"/>
          <w:lang w:val="hr-HR"/>
        </w:rPr>
      </w:pPr>
    </w:p>
    <w:p w14:paraId="168D55D4" w14:textId="77777777" w:rsidR="00195AED" w:rsidRPr="00225313" w:rsidRDefault="00195AED" w:rsidP="00940D56">
      <w:pPr>
        <w:rPr>
          <w:sz w:val="32"/>
          <w:szCs w:val="32"/>
          <w:lang w:val="hr-HR"/>
        </w:rPr>
      </w:pPr>
    </w:p>
    <w:p w14:paraId="4722657B" w14:textId="77777777" w:rsidR="00195AED" w:rsidRPr="00225313" w:rsidRDefault="00195AED" w:rsidP="00195AED">
      <w:pPr>
        <w:jc w:val="center"/>
        <w:rPr>
          <w:sz w:val="32"/>
          <w:szCs w:val="32"/>
          <w:lang w:val="hr-HR"/>
        </w:rPr>
      </w:pPr>
    </w:p>
    <w:p w14:paraId="5D10A2C3" w14:textId="383AC4FE" w:rsidR="00195AED" w:rsidRPr="00225313" w:rsidRDefault="00162143" w:rsidP="00195AED">
      <w:pPr>
        <w:jc w:val="center"/>
        <w:rPr>
          <w:sz w:val="32"/>
          <w:szCs w:val="32"/>
          <w:lang w:val="hr-HR"/>
        </w:rPr>
      </w:pPr>
      <w:r w:rsidRPr="00225313">
        <w:rPr>
          <w:sz w:val="32"/>
          <w:szCs w:val="32"/>
          <w:lang w:val="hr-HR"/>
        </w:rPr>
        <w:t>Matija Modrušan</w:t>
      </w:r>
    </w:p>
    <w:p w14:paraId="6240F598" w14:textId="0026D04E" w:rsidR="00195AED" w:rsidRPr="00225313" w:rsidRDefault="00195AED" w:rsidP="00195AED">
      <w:pPr>
        <w:rPr>
          <w:rFonts w:ascii="Arial Narrow" w:hAnsi="Arial Narrow" w:cs="Arial Narrow"/>
          <w:sz w:val="32"/>
          <w:szCs w:val="32"/>
          <w:lang w:val="hr-HR"/>
        </w:rPr>
      </w:pPr>
    </w:p>
    <w:p w14:paraId="2818107B" w14:textId="77777777" w:rsidR="00195AED" w:rsidRPr="00225313" w:rsidRDefault="00195AED" w:rsidP="00940D56">
      <w:pPr>
        <w:rPr>
          <w:rFonts w:ascii="Arial Narrow" w:hAnsi="Arial Narrow" w:cs="Arial Narrow"/>
          <w:sz w:val="32"/>
          <w:szCs w:val="32"/>
          <w:lang w:val="hr-HR"/>
        </w:rPr>
      </w:pPr>
    </w:p>
    <w:p w14:paraId="3E3D1321" w14:textId="77777777" w:rsidR="00195AED" w:rsidRPr="00225313" w:rsidRDefault="00195AED" w:rsidP="00195AED">
      <w:pPr>
        <w:jc w:val="center"/>
        <w:rPr>
          <w:rFonts w:ascii="Arial Narrow" w:hAnsi="Arial Narrow" w:cs="Arial Narrow"/>
          <w:sz w:val="32"/>
          <w:szCs w:val="32"/>
          <w:lang w:val="hr-HR"/>
        </w:rPr>
      </w:pPr>
    </w:p>
    <w:p w14:paraId="5982D79E" w14:textId="5F55CF79" w:rsidR="00195AED" w:rsidRPr="00225313" w:rsidRDefault="00162143" w:rsidP="00162143">
      <w:pPr>
        <w:spacing w:line="276" w:lineRule="auto"/>
        <w:jc w:val="center"/>
        <w:rPr>
          <w:sz w:val="32"/>
          <w:szCs w:val="32"/>
          <w:lang w:val="hr-HR"/>
        </w:rPr>
      </w:pPr>
      <w:r w:rsidRPr="00225313">
        <w:rPr>
          <w:b/>
          <w:bCs/>
          <w:sz w:val="44"/>
          <w:szCs w:val="44"/>
          <w:lang w:val="hr-HR"/>
        </w:rPr>
        <w:t>ENTALPIJSKI I ENTROPIJSKI DOPRINOSI VEZANJA GOSTA NA LINEARNE I CIKLIČKE RECEPTORE</w:t>
      </w:r>
    </w:p>
    <w:p w14:paraId="0B96AB88" w14:textId="77777777" w:rsidR="00195AED" w:rsidRPr="00225313" w:rsidRDefault="00195AED" w:rsidP="00162143">
      <w:pPr>
        <w:spacing w:line="276" w:lineRule="auto"/>
        <w:jc w:val="center"/>
        <w:rPr>
          <w:sz w:val="32"/>
          <w:szCs w:val="32"/>
          <w:lang w:val="hr-HR"/>
        </w:rPr>
      </w:pPr>
    </w:p>
    <w:p w14:paraId="2E3F3FCC" w14:textId="77777777" w:rsidR="00195AED" w:rsidRPr="00225313" w:rsidRDefault="00195AED" w:rsidP="00195AED">
      <w:pPr>
        <w:jc w:val="center"/>
        <w:rPr>
          <w:sz w:val="32"/>
          <w:szCs w:val="32"/>
          <w:lang w:val="hr-HR"/>
        </w:rPr>
      </w:pPr>
    </w:p>
    <w:p w14:paraId="4B7F4236" w14:textId="62D3834C" w:rsidR="00195AED" w:rsidRPr="00225313" w:rsidRDefault="00E533D5" w:rsidP="00E533D5">
      <w:pPr>
        <w:spacing w:line="360" w:lineRule="auto"/>
        <w:jc w:val="center"/>
        <w:rPr>
          <w:b/>
          <w:sz w:val="28"/>
          <w:szCs w:val="28"/>
          <w:lang w:val="hr-HR"/>
        </w:rPr>
      </w:pPr>
      <w:r w:rsidRPr="00225313">
        <w:rPr>
          <w:b/>
          <w:sz w:val="28"/>
          <w:szCs w:val="28"/>
          <w:lang w:val="hr-HR"/>
        </w:rPr>
        <w:t>KEMIJSKI SEMINAR I</w:t>
      </w:r>
    </w:p>
    <w:p w14:paraId="6C1BE7EF" w14:textId="2CC6B52A" w:rsidR="00195AED" w:rsidRPr="00225313" w:rsidRDefault="00E533D5" w:rsidP="00E533D5">
      <w:pPr>
        <w:spacing w:line="360" w:lineRule="auto"/>
        <w:jc w:val="center"/>
        <w:rPr>
          <w:lang w:val="hr-HR"/>
        </w:rPr>
      </w:pPr>
      <w:r w:rsidRPr="00225313">
        <w:rPr>
          <w:lang w:val="hr-HR"/>
        </w:rPr>
        <w:t>Poslijediplomski sveučilišni studij Fizikalna kemija</w:t>
      </w:r>
    </w:p>
    <w:p w14:paraId="043B0AF8" w14:textId="77777777" w:rsidR="00E533D5" w:rsidRPr="00225313" w:rsidRDefault="00E533D5" w:rsidP="00E533D5">
      <w:pPr>
        <w:spacing w:line="360" w:lineRule="auto"/>
        <w:rPr>
          <w:lang w:val="hr-HR"/>
        </w:rPr>
      </w:pPr>
    </w:p>
    <w:p w14:paraId="14ACC42B" w14:textId="27F32BDD" w:rsidR="00195AED" w:rsidRPr="00225313" w:rsidRDefault="00E533D5" w:rsidP="00E533D5">
      <w:pPr>
        <w:spacing w:line="360" w:lineRule="auto"/>
        <w:jc w:val="center"/>
        <w:rPr>
          <w:sz w:val="28"/>
          <w:szCs w:val="28"/>
          <w:lang w:val="hr-HR"/>
        </w:rPr>
      </w:pPr>
      <w:r w:rsidRPr="00225313">
        <w:rPr>
          <w:sz w:val="28"/>
          <w:szCs w:val="28"/>
          <w:lang w:val="hr-HR"/>
        </w:rPr>
        <w:t xml:space="preserve">Izrađen prema: </w:t>
      </w:r>
    </w:p>
    <w:p w14:paraId="36E68717" w14:textId="65F65266" w:rsidR="00E533D5" w:rsidRPr="00225313" w:rsidRDefault="00E533D5" w:rsidP="00E533D5">
      <w:pPr>
        <w:spacing w:line="360" w:lineRule="auto"/>
        <w:jc w:val="center"/>
        <w:rPr>
          <w:lang w:val="hr-HR"/>
        </w:rPr>
      </w:pPr>
      <w:bookmarkStart w:id="0" w:name="_Hlk103153338"/>
      <w:r w:rsidRPr="00225313">
        <w:rPr>
          <w:lang w:val="hr-HR"/>
        </w:rPr>
        <w:t xml:space="preserve">Y. Zhao, </w:t>
      </w:r>
      <w:r w:rsidRPr="00225313">
        <w:rPr>
          <w:i/>
          <w:lang w:val="hr-HR"/>
        </w:rPr>
        <w:t>ChemPhysChem</w:t>
      </w:r>
      <w:r w:rsidRPr="00225313">
        <w:rPr>
          <w:lang w:val="hr-HR"/>
        </w:rPr>
        <w:t xml:space="preserve"> </w:t>
      </w:r>
      <w:r w:rsidRPr="00225313">
        <w:rPr>
          <w:b/>
          <w:lang w:val="hr-HR"/>
        </w:rPr>
        <w:t>14</w:t>
      </w:r>
      <w:r w:rsidRPr="00225313">
        <w:rPr>
          <w:lang w:val="hr-HR"/>
        </w:rPr>
        <w:t xml:space="preserve"> (2013) 3878–3885.</w:t>
      </w:r>
    </w:p>
    <w:bookmarkEnd w:id="0"/>
    <w:p w14:paraId="059D9F42" w14:textId="77777777" w:rsidR="00195AED" w:rsidRPr="00225313" w:rsidRDefault="00195AED" w:rsidP="00195AED">
      <w:pPr>
        <w:spacing w:line="360" w:lineRule="auto"/>
        <w:jc w:val="center"/>
        <w:rPr>
          <w:sz w:val="28"/>
          <w:szCs w:val="28"/>
          <w:lang w:val="hr-HR"/>
        </w:rPr>
      </w:pPr>
    </w:p>
    <w:p w14:paraId="0AF35BF4" w14:textId="77777777" w:rsidR="00195AED" w:rsidRPr="00225313" w:rsidRDefault="00195AED" w:rsidP="00195AED">
      <w:pPr>
        <w:jc w:val="center"/>
        <w:rPr>
          <w:rFonts w:ascii="Arial Narrow" w:hAnsi="Arial Narrow" w:cs="Arial Narrow"/>
          <w:sz w:val="32"/>
          <w:szCs w:val="32"/>
          <w:lang w:val="hr-HR"/>
        </w:rPr>
      </w:pPr>
    </w:p>
    <w:p w14:paraId="6B2AE3EB" w14:textId="77777777" w:rsidR="00195AED" w:rsidRPr="00225313" w:rsidRDefault="00195AED" w:rsidP="00940D56">
      <w:pPr>
        <w:rPr>
          <w:rFonts w:ascii="Arial Narrow" w:hAnsi="Arial Narrow" w:cs="Arial Narrow"/>
          <w:sz w:val="32"/>
          <w:szCs w:val="32"/>
          <w:lang w:val="hr-HR"/>
        </w:rPr>
      </w:pPr>
    </w:p>
    <w:p w14:paraId="6776A6C7" w14:textId="77777777" w:rsidR="00195AED" w:rsidRPr="00225313" w:rsidRDefault="00195AED" w:rsidP="00195AED">
      <w:pPr>
        <w:jc w:val="center"/>
        <w:rPr>
          <w:rFonts w:ascii="Arial Narrow" w:hAnsi="Arial Narrow" w:cs="Arial Narrow"/>
          <w:sz w:val="32"/>
          <w:szCs w:val="32"/>
          <w:lang w:val="hr-HR"/>
        </w:rPr>
      </w:pPr>
    </w:p>
    <w:p w14:paraId="4DE91C99" w14:textId="77777777" w:rsidR="00195AED" w:rsidRPr="00225313" w:rsidRDefault="00195AED" w:rsidP="00195AED">
      <w:pPr>
        <w:jc w:val="center"/>
        <w:rPr>
          <w:rFonts w:ascii="Arial Narrow" w:hAnsi="Arial Narrow" w:cs="Arial Narrow"/>
          <w:sz w:val="32"/>
          <w:szCs w:val="32"/>
          <w:lang w:val="hr-HR"/>
        </w:rPr>
      </w:pPr>
    </w:p>
    <w:p w14:paraId="0E4ACB8B" w14:textId="4658BCC8" w:rsidR="00195AED" w:rsidRPr="00225313" w:rsidRDefault="00195AED" w:rsidP="00162143">
      <w:pPr>
        <w:jc w:val="center"/>
        <w:rPr>
          <w:sz w:val="28"/>
          <w:szCs w:val="28"/>
          <w:lang w:val="hr-HR"/>
        </w:rPr>
        <w:sectPr w:rsidR="00195AED" w:rsidRPr="00225313" w:rsidSect="00CF6BB4">
          <w:pgSz w:w="11907" w:h="16840" w:code="9"/>
          <w:pgMar w:top="1701" w:right="1418" w:bottom="1701" w:left="1418" w:header="1134" w:footer="1134" w:gutter="0"/>
          <w:pgNumType w:fmt="lowerRoman"/>
          <w:cols w:space="708"/>
          <w:docGrid w:linePitch="360"/>
        </w:sectPr>
      </w:pPr>
      <w:r w:rsidRPr="00225313">
        <w:rPr>
          <w:sz w:val="28"/>
          <w:szCs w:val="28"/>
          <w:lang w:val="hr-HR"/>
        </w:rPr>
        <w:t xml:space="preserve">Zagreb, </w:t>
      </w:r>
      <w:r w:rsidR="00162143" w:rsidRPr="00225313">
        <w:rPr>
          <w:sz w:val="28"/>
          <w:szCs w:val="28"/>
          <w:lang w:val="hr-HR"/>
        </w:rPr>
        <w:t>2022.</w:t>
      </w:r>
    </w:p>
    <w:sdt>
      <w:sdtPr>
        <w:rPr>
          <w:rFonts w:ascii="Times New Roman" w:hAnsi="Times New Roman" w:cs="Times New Roman"/>
          <w:b w:val="0"/>
          <w:bCs w:val="0"/>
          <w:color w:val="auto"/>
          <w:sz w:val="24"/>
          <w:szCs w:val="24"/>
          <w:lang w:val="hr-HR"/>
        </w:rPr>
        <w:id w:val="-823275896"/>
        <w:docPartObj>
          <w:docPartGallery w:val="Table of Contents"/>
          <w:docPartUnique/>
        </w:docPartObj>
      </w:sdtPr>
      <w:sdtEndPr/>
      <w:sdtContent>
        <w:p w14:paraId="3109ABED" w14:textId="1D735D34" w:rsidR="00171E1F" w:rsidRPr="00225313" w:rsidRDefault="00171E1F">
          <w:pPr>
            <w:pStyle w:val="TOCHeading"/>
            <w:rPr>
              <w:color w:val="003399"/>
              <w:sz w:val="36"/>
              <w:szCs w:val="36"/>
              <w:lang w:val="hr-HR"/>
            </w:rPr>
          </w:pPr>
          <w:r w:rsidRPr="00225313">
            <w:rPr>
              <w:color w:val="003399"/>
              <w:sz w:val="36"/>
              <w:szCs w:val="36"/>
              <w:lang w:val="hr-HR"/>
            </w:rPr>
            <w:t>Sadržaj</w:t>
          </w:r>
        </w:p>
        <w:p w14:paraId="6DCB44F7" w14:textId="77777777" w:rsidR="00171E1F" w:rsidRPr="00225313" w:rsidRDefault="00171E1F" w:rsidP="00171E1F">
          <w:pPr>
            <w:rPr>
              <w:lang w:val="hr-HR"/>
            </w:rPr>
          </w:pPr>
        </w:p>
        <w:p w14:paraId="7AB99D61" w14:textId="77FF017E" w:rsidR="004E47CF" w:rsidRDefault="00171E1F">
          <w:pPr>
            <w:pStyle w:val="TOC1"/>
            <w:rPr>
              <w:rFonts w:asciiTheme="minorHAnsi" w:eastAsiaTheme="minorEastAsia" w:hAnsiTheme="minorHAnsi" w:cstheme="minorBidi"/>
              <w:b w:val="0"/>
              <w:bCs w:val="0"/>
              <w:caps w:val="0"/>
              <w:color w:val="auto"/>
              <w:sz w:val="22"/>
              <w:szCs w:val="22"/>
            </w:rPr>
          </w:pPr>
          <w:r w:rsidRPr="00225313">
            <w:rPr>
              <w:noProof w:val="0"/>
              <w:lang w:val="hr-HR"/>
            </w:rPr>
            <w:fldChar w:fldCharType="begin"/>
          </w:r>
          <w:r w:rsidRPr="00225313">
            <w:rPr>
              <w:noProof w:val="0"/>
              <w:lang w:val="hr-HR"/>
            </w:rPr>
            <w:instrText xml:space="preserve"> TOC \o "1-3" \h \z \u </w:instrText>
          </w:r>
          <w:r w:rsidRPr="00225313">
            <w:rPr>
              <w:noProof w:val="0"/>
              <w:lang w:val="hr-HR"/>
            </w:rPr>
            <w:fldChar w:fldCharType="separate"/>
          </w:r>
          <w:hyperlink w:anchor="_Toc103335692" w:history="1">
            <w:r w:rsidR="004E47CF" w:rsidRPr="00A1595E">
              <w:rPr>
                <w:rStyle w:val="Hyperlink"/>
              </w:rPr>
              <w:t>§ 1.</w:t>
            </w:r>
            <w:r w:rsidR="004E47CF">
              <w:rPr>
                <w:rFonts w:asciiTheme="minorHAnsi" w:eastAsiaTheme="minorEastAsia" w:hAnsiTheme="minorHAnsi" w:cstheme="minorBidi"/>
                <w:b w:val="0"/>
                <w:bCs w:val="0"/>
                <w:caps w:val="0"/>
                <w:color w:val="auto"/>
                <w:sz w:val="22"/>
                <w:szCs w:val="22"/>
              </w:rPr>
              <w:tab/>
            </w:r>
            <w:r w:rsidR="004E47CF" w:rsidRPr="00A1595E">
              <w:rPr>
                <w:rStyle w:val="Hyperlink"/>
              </w:rPr>
              <w:t>UVOD</w:t>
            </w:r>
            <w:r w:rsidR="004E47CF">
              <w:rPr>
                <w:webHidden/>
              </w:rPr>
              <w:tab/>
            </w:r>
            <w:r w:rsidR="004E47CF">
              <w:rPr>
                <w:webHidden/>
              </w:rPr>
              <w:fldChar w:fldCharType="begin"/>
            </w:r>
            <w:r w:rsidR="004E47CF">
              <w:rPr>
                <w:webHidden/>
              </w:rPr>
              <w:instrText xml:space="preserve"> PAGEREF _Toc103335692 \h </w:instrText>
            </w:r>
            <w:r w:rsidR="004E47CF">
              <w:rPr>
                <w:webHidden/>
              </w:rPr>
            </w:r>
            <w:r w:rsidR="004E47CF">
              <w:rPr>
                <w:webHidden/>
              </w:rPr>
              <w:fldChar w:fldCharType="separate"/>
            </w:r>
            <w:r w:rsidR="004E47CF">
              <w:rPr>
                <w:webHidden/>
              </w:rPr>
              <w:t>1</w:t>
            </w:r>
            <w:r w:rsidR="004E47CF">
              <w:rPr>
                <w:webHidden/>
              </w:rPr>
              <w:fldChar w:fldCharType="end"/>
            </w:r>
          </w:hyperlink>
        </w:p>
        <w:p w14:paraId="3DD77DD6" w14:textId="5F03B703" w:rsidR="004E47CF" w:rsidRDefault="004E47CF">
          <w:pPr>
            <w:pStyle w:val="TOC1"/>
            <w:rPr>
              <w:rFonts w:asciiTheme="minorHAnsi" w:eastAsiaTheme="minorEastAsia" w:hAnsiTheme="minorHAnsi" w:cstheme="minorBidi"/>
              <w:b w:val="0"/>
              <w:bCs w:val="0"/>
              <w:caps w:val="0"/>
              <w:color w:val="auto"/>
              <w:sz w:val="22"/>
              <w:szCs w:val="22"/>
            </w:rPr>
          </w:pPr>
          <w:hyperlink w:anchor="_Toc103335693" w:history="1">
            <w:r w:rsidRPr="00A1595E">
              <w:rPr>
                <w:rStyle w:val="Hyperlink"/>
              </w:rPr>
              <w:t>§ 2.</w:t>
            </w:r>
            <w:r>
              <w:rPr>
                <w:rFonts w:asciiTheme="minorHAnsi" w:eastAsiaTheme="minorEastAsia" w:hAnsiTheme="minorHAnsi" w:cstheme="minorBidi"/>
                <w:b w:val="0"/>
                <w:bCs w:val="0"/>
                <w:caps w:val="0"/>
                <w:color w:val="auto"/>
                <w:sz w:val="22"/>
                <w:szCs w:val="22"/>
              </w:rPr>
              <w:tab/>
            </w:r>
            <w:r w:rsidRPr="00A1595E">
              <w:rPr>
                <w:rStyle w:val="Hyperlink"/>
              </w:rPr>
              <w:t>LITERATURNI PREGLED</w:t>
            </w:r>
            <w:r>
              <w:rPr>
                <w:webHidden/>
              </w:rPr>
              <w:tab/>
            </w:r>
            <w:r>
              <w:rPr>
                <w:webHidden/>
              </w:rPr>
              <w:fldChar w:fldCharType="begin"/>
            </w:r>
            <w:r>
              <w:rPr>
                <w:webHidden/>
              </w:rPr>
              <w:instrText xml:space="preserve"> PAGEREF _Toc103335693 \h </w:instrText>
            </w:r>
            <w:r>
              <w:rPr>
                <w:webHidden/>
              </w:rPr>
            </w:r>
            <w:r>
              <w:rPr>
                <w:webHidden/>
              </w:rPr>
              <w:fldChar w:fldCharType="separate"/>
            </w:r>
            <w:r>
              <w:rPr>
                <w:webHidden/>
              </w:rPr>
              <w:t>3</w:t>
            </w:r>
            <w:r>
              <w:rPr>
                <w:webHidden/>
              </w:rPr>
              <w:fldChar w:fldCharType="end"/>
            </w:r>
          </w:hyperlink>
        </w:p>
        <w:p w14:paraId="0F034E4A" w14:textId="7C869F53" w:rsidR="004E47CF" w:rsidRDefault="004E47CF">
          <w:pPr>
            <w:pStyle w:val="TOC2"/>
            <w:rPr>
              <w:rFonts w:asciiTheme="minorHAnsi" w:eastAsiaTheme="minorEastAsia" w:hAnsiTheme="minorHAnsi" w:cstheme="minorBidi"/>
              <w:b w:val="0"/>
              <w:bCs w:val="0"/>
              <w:noProof/>
            </w:rPr>
          </w:pPr>
          <w:hyperlink w:anchor="_Toc103335694" w:history="1">
            <w:r w:rsidRPr="00A1595E">
              <w:rPr>
                <w:rStyle w:val="Hyperlink"/>
                <w:noProof/>
              </w:rPr>
              <w:t>2.1.</w:t>
            </w:r>
            <w:r>
              <w:rPr>
                <w:rFonts w:asciiTheme="minorHAnsi" w:eastAsiaTheme="minorEastAsia" w:hAnsiTheme="minorHAnsi" w:cstheme="minorBidi"/>
                <w:b w:val="0"/>
                <w:bCs w:val="0"/>
                <w:noProof/>
              </w:rPr>
              <w:tab/>
            </w:r>
            <w:r w:rsidRPr="00A1595E">
              <w:rPr>
                <w:rStyle w:val="Hyperlink"/>
                <w:noProof/>
              </w:rPr>
              <w:t>Preorganizacija</w:t>
            </w:r>
            <w:r>
              <w:rPr>
                <w:noProof/>
                <w:webHidden/>
              </w:rPr>
              <w:tab/>
            </w:r>
            <w:r>
              <w:rPr>
                <w:noProof/>
                <w:webHidden/>
              </w:rPr>
              <w:fldChar w:fldCharType="begin"/>
            </w:r>
            <w:r>
              <w:rPr>
                <w:noProof/>
                <w:webHidden/>
              </w:rPr>
              <w:instrText xml:space="preserve"> PAGEREF _Toc103335694 \h </w:instrText>
            </w:r>
            <w:r>
              <w:rPr>
                <w:noProof/>
                <w:webHidden/>
              </w:rPr>
            </w:r>
            <w:r>
              <w:rPr>
                <w:noProof/>
                <w:webHidden/>
              </w:rPr>
              <w:fldChar w:fldCharType="separate"/>
            </w:r>
            <w:r>
              <w:rPr>
                <w:noProof/>
                <w:webHidden/>
              </w:rPr>
              <w:t>3</w:t>
            </w:r>
            <w:r>
              <w:rPr>
                <w:noProof/>
                <w:webHidden/>
              </w:rPr>
              <w:fldChar w:fldCharType="end"/>
            </w:r>
          </w:hyperlink>
        </w:p>
        <w:p w14:paraId="0CDF34AB" w14:textId="508AE861" w:rsidR="004E47CF" w:rsidRDefault="004E47CF">
          <w:pPr>
            <w:pStyle w:val="TOC2"/>
            <w:rPr>
              <w:rFonts w:asciiTheme="minorHAnsi" w:eastAsiaTheme="minorEastAsia" w:hAnsiTheme="minorHAnsi" w:cstheme="minorBidi"/>
              <w:b w:val="0"/>
              <w:bCs w:val="0"/>
              <w:noProof/>
            </w:rPr>
          </w:pPr>
          <w:hyperlink w:anchor="_Toc103335695" w:history="1">
            <w:r w:rsidRPr="00A1595E">
              <w:rPr>
                <w:rStyle w:val="Hyperlink"/>
                <w:noProof/>
              </w:rPr>
              <w:t>2.2.</w:t>
            </w:r>
            <w:r>
              <w:rPr>
                <w:rFonts w:asciiTheme="minorHAnsi" w:eastAsiaTheme="minorEastAsia" w:hAnsiTheme="minorHAnsi" w:cstheme="minorBidi"/>
                <w:b w:val="0"/>
                <w:bCs w:val="0"/>
                <w:noProof/>
              </w:rPr>
              <w:tab/>
            </w:r>
            <w:r w:rsidRPr="00A1595E">
              <w:rPr>
                <w:rStyle w:val="Hyperlink"/>
                <w:noProof/>
              </w:rPr>
              <w:t>Solvatacija/desolvatacija</w:t>
            </w:r>
            <w:r>
              <w:rPr>
                <w:noProof/>
                <w:webHidden/>
              </w:rPr>
              <w:tab/>
            </w:r>
            <w:r>
              <w:rPr>
                <w:noProof/>
                <w:webHidden/>
              </w:rPr>
              <w:fldChar w:fldCharType="begin"/>
            </w:r>
            <w:r>
              <w:rPr>
                <w:noProof/>
                <w:webHidden/>
              </w:rPr>
              <w:instrText xml:space="preserve"> PAGEREF _Toc103335695 \h </w:instrText>
            </w:r>
            <w:r>
              <w:rPr>
                <w:noProof/>
                <w:webHidden/>
              </w:rPr>
            </w:r>
            <w:r>
              <w:rPr>
                <w:noProof/>
                <w:webHidden/>
              </w:rPr>
              <w:fldChar w:fldCharType="separate"/>
            </w:r>
            <w:r>
              <w:rPr>
                <w:noProof/>
                <w:webHidden/>
              </w:rPr>
              <w:t>5</w:t>
            </w:r>
            <w:r>
              <w:rPr>
                <w:noProof/>
                <w:webHidden/>
              </w:rPr>
              <w:fldChar w:fldCharType="end"/>
            </w:r>
          </w:hyperlink>
        </w:p>
        <w:p w14:paraId="69F4380B" w14:textId="611CB269" w:rsidR="004E47CF" w:rsidRDefault="004E47CF">
          <w:pPr>
            <w:pStyle w:val="TOC2"/>
            <w:rPr>
              <w:rFonts w:asciiTheme="minorHAnsi" w:eastAsiaTheme="minorEastAsia" w:hAnsiTheme="minorHAnsi" w:cstheme="minorBidi"/>
              <w:b w:val="0"/>
              <w:bCs w:val="0"/>
              <w:noProof/>
            </w:rPr>
          </w:pPr>
          <w:hyperlink w:anchor="_Toc103335696" w:history="1">
            <w:r w:rsidRPr="00A1595E">
              <w:rPr>
                <w:rStyle w:val="Hyperlink"/>
                <w:noProof/>
              </w:rPr>
              <w:t>2.3.</w:t>
            </w:r>
            <w:r>
              <w:rPr>
                <w:rFonts w:asciiTheme="minorHAnsi" w:eastAsiaTheme="minorEastAsia" w:hAnsiTheme="minorHAnsi" w:cstheme="minorBidi"/>
                <w:b w:val="0"/>
                <w:bCs w:val="0"/>
                <w:noProof/>
              </w:rPr>
              <w:tab/>
            </w:r>
            <w:r w:rsidRPr="00A1595E">
              <w:rPr>
                <w:rStyle w:val="Hyperlink"/>
                <w:noProof/>
              </w:rPr>
              <w:t>Kooperativnost</w:t>
            </w:r>
            <w:r>
              <w:rPr>
                <w:noProof/>
                <w:webHidden/>
              </w:rPr>
              <w:tab/>
            </w:r>
            <w:r>
              <w:rPr>
                <w:noProof/>
                <w:webHidden/>
              </w:rPr>
              <w:fldChar w:fldCharType="begin"/>
            </w:r>
            <w:r>
              <w:rPr>
                <w:noProof/>
                <w:webHidden/>
              </w:rPr>
              <w:instrText xml:space="preserve"> PAGEREF _Toc103335696 \h </w:instrText>
            </w:r>
            <w:r>
              <w:rPr>
                <w:noProof/>
                <w:webHidden/>
              </w:rPr>
            </w:r>
            <w:r>
              <w:rPr>
                <w:noProof/>
                <w:webHidden/>
              </w:rPr>
              <w:fldChar w:fldCharType="separate"/>
            </w:r>
            <w:r>
              <w:rPr>
                <w:noProof/>
                <w:webHidden/>
              </w:rPr>
              <w:t>8</w:t>
            </w:r>
            <w:r>
              <w:rPr>
                <w:noProof/>
                <w:webHidden/>
              </w:rPr>
              <w:fldChar w:fldCharType="end"/>
            </w:r>
          </w:hyperlink>
        </w:p>
        <w:p w14:paraId="5916F97A" w14:textId="2ED43D43" w:rsidR="004E47CF" w:rsidRDefault="004E47CF">
          <w:pPr>
            <w:pStyle w:val="TOC1"/>
            <w:rPr>
              <w:rFonts w:asciiTheme="minorHAnsi" w:eastAsiaTheme="minorEastAsia" w:hAnsiTheme="minorHAnsi" w:cstheme="minorBidi"/>
              <w:b w:val="0"/>
              <w:bCs w:val="0"/>
              <w:caps w:val="0"/>
              <w:color w:val="auto"/>
              <w:sz w:val="22"/>
              <w:szCs w:val="22"/>
            </w:rPr>
          </w:pPr>
          <w:hyperlink w:anchor="_Toc103335697" w:history="1">
            <w:r w:rsidRPr="00A1595E">
              <w:rPr>
                <w:rStyle w:val="Hyperlink"/>
              </w:rPr>
              <w:t>§ 3.</w:t>
            </w:r>
            <w:r>
              <w:rPr>
                <w:rFonts w:asciiTheme="minorHAnsi" w:eastAsiaTheme="minorEastAsia" w:hAnsiTheme="minorHAnsi" w:cstheme="minorBidi"/>
                <w:b w:val="0"/>
                <w:bCs w:val="0"/>
                <w:caps w:val="0"/>
                <w:color w:val="auto"/>
                <w:sz w:val="22"/>
                <w:szCs w:val="22"/>
              </w:rPr>
              <w:tab/>
            </w:r>
            <w:r w:rsidRPr="00A1595E">
              <w:rPr>
                <w:rStyle w:val="Hyperlink"/>
              </w:rPr>
              <w:t>ZAKLJUČAK</w:t>
            </w:r>
            <w:r>
              <w:rPr>
                <w:webHidden/>
              </w:rPr>
              <w:tab/>
            </w:r>
            <w:r>
              <w:rPr>
                <w:webHidden/>
              </w:rPr>
              <w:fldChar w:fldCharType="begin"/>
            </w:r>
            <w:r>
              <w:rPr>
                <w:webHidden/>
              </w:rPr>
              <w:instrText xml:space="preserve"> PAGEREF _Toc103335697 \h </w:instrText>
            </w:r>
            <w:r>
              <w:rPr>
                <w:webHidden/>
              </w:rPr>
            </w:r>
            <w:r>
              <w:rPr>
                <w:webHidden/>
              </w:rPr>
              <w:fldChar w:fldCharType="separate"/>
            </w:r>
            <w:r>
              <w:rPr>
                <w:webHidden/>
              </w:rPr>
              <w:t>10</w:t>
            </w:r>
            <w:r>
              <w:rPr>
                <w:webHidden/>
              </w:rPr>
              <w:fldChar w:fldCharType="end"/>
            </w:r>
          </w:hyperlink>
        </w:p>
        <w:p w14:paraId="616DA458" w14:textId="0A0861A9" w:rsidR="004E47CF" w:rsidRDefault="004E47CF">
          <w:pPr>
            <w:pStyle w:val="TOC1"/>
            <w:rPr>
              <w:rFonts w:asciiTheme="minorHAnsi" w:eastAsiaTheme="minorEastAsia" w:hAnsiTheme="minorHAnsi" w:cstheme="minorBidi"/>
              <w:b w:val="0"/>
              <w:bCs w:val="0"/>
              <w:caps w:val="0"/>
              <w:color w:val="auto"/>
              <w:sz w:val="22"/>
              <w:szCs w:val="22"/>
            </w:rPr>
          </w:pPr>
          <w:hyperlink w:anchor="_Toc103335698" w:history="1">
            <w:r w:rsidRPr="00A1595E">
              <w:rPr>
                <w:rStyle w:val="Hyperlink"/>
              </w:rPr>
              <w:t>§ 4.</w:t>
            </w:r>
            <w:r>
              <w:rPr>
                <w:rFonts w:asciiTheme="minorHAnsi" w:eastAsiaTheme="minorEastAsia" w:hAnsiTheme="minorHAnsi" w:cstheme="minorBidi"/>
                <w:b w:val="0"/>
                <w:bCs w:val="0"/>
                <w:caps w:val="0"/>
                <w:color w:val="auto"/>
                <w:sz w:val="22"/>
                <w:szCs w:val="22"/>
              </w:rPr>
              <w:tab/>
            </w:r>
            <w:r w:rsidRPr="00A1595E">
              <w:rPr>
                <w:rStyle w:val="Hyperlink"/>
              </w:rPr>
              <w:t>LITERATURNI IZVORI</w:t>
            </w:r>
            <w:r>
              <w:rPr>
                <w:webHidden/>
              </w:rPr>
              <w:tab/>
            </w:r>
            <w:r>
              <w:rPr>
                <w:webHidden/>
              </w:rPr>
              <w:fldChar w:fldCharType="begin"/>
            </w:r>
            <w:r>
              <w:rPr>
                <w:webHidden/>
              </w:rPr>
              <w:instrText xml:space="preserve"> PAGEREF _Toc103335698 \h </w:instrText>
            </w:r>
            <w:r>
              <w:rPr>
                <w:webHidden/>
              </w:rPr>
            </w:r>
            <w:r>
              <w:rPr>
                <w:webHidden/>
              </w:rPr>
              <w:fldChar w:fldCharType="separate"/>
            </w:r>
            <w:r>
              <w:rPr>
                <w:webHidden/>
              </w:rPr>
              <w:t>11</w:t>
            </w:r>
            <w:r>
              <w:rPr>
                <w:webHidden/>
              </w:rPr>
              <w:fldChar w:fldCharType="end"/>
            </w:r>
          </w:hyperlink>
        </w:p>
        <w:p w14:paraId="5B157B10" w14:textId="561EE810" w:rsidR="00171E1F" w:rsidRPr="00225313" w:rsidRDefault="00171E1F">
          <w:pPr>
            <w:rPr>
              <w:lang w:val="hr-HR"/>
            </w:rPr>
          </w:pPr>
          <w:r w:rsidRPr="00225313">
            <w:rPr>
              <w:b/>
              <w:bCs/>
              <w:lang w:val="hr-HR"/>
            </w:rPr>
            <w:fldChar w:fldCharType="end"/>
          </w:r>
        </w:p>
      </w:sdtContent>
    </w:sdt>
    <w:p w14:paraId="757F79A3" w14:textId="4D03C0A2" w:rsidR="00424536" w:rsidRPr="00225313" w:rsidRDefault="00424536" w:rsidP="00D7721A">
      <w:pPr>
        <w:pStyle w:val="OCJENSKIRADOVIFontParagraph"/>
        <w:tabs>
          <w:tab w:val="left" w:pos="567"/>
          <w:tab w:val="right" w:leader="dot" w:pos="9072"/>
        </w:tabs>
        <w:spacing w:before="120"/>
        <w:outlineLvl w:val="0"/>
        <w:rPr>
          <w:rStyle w:val="OCJENSKIRADOVIFontCharacter"/>
          <w:b/>
          <w:bCs/>
          <w:caps/>
          <w:color w:val="003399"/>
        </w:rPr>
      </w:pPr>
    </w:p>
    <w:p w14:paraId="2AA4B0BD" w14:textId="77777777" w:rsidR="00424536" w:rsidRPr="00225313" w:rsidRDefault="00424536" w:rsidP="0055198C">
      <w:pPr>
        <w:pStyle w:val="OCJENSKIRADOVIFontParagraph"/>
      </w:pPr>
    </w:p>
    <w:p w14:paraId="0B1D1A7B" w14:textId="6C4EDC14" w:rsidR="00424536" w:rsidRPr="00225313" w:rsidRDefault="007C3D4D" w:rsidP="003C13A3">
      <w:pPr>
        <w:rPr>
          <w:lang w:val="hr-HR"/>
        </w:rPr>
      </w:pP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p>
    <w:p w14:paraId="6281439F" w14:textId="77777777" w:rsidR="007C3D4D" w:rsidRPr="00225313" w:rsidRDefault="007C3D4D" w:rsidP="003C13A3">
      <w:pPr>
        <w:rPr>
          <w:lang w:val="hr-HR"/>
        </w:rPr>
      </w:pPr>
    </w:p>
    <w:p w14:paraId="3DB8049F" w14:textId="6D8E060D" w:rsidR="003B71DF" w:rsidRPr="00225313" w:rsidRDefault="007C3D4D" w:rsidP="00162143">
      <w:pPr>
        <w:rPr>
          <w:lang w:val="hr-HR"/>
        </w:rPr>
      </w:pP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bookmarkStart w:id="1" w:name="_GoBack"/>
      <w:bookmarkEnd w:id="1"/>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r w:rsidRPr="00225313">
        <w:rPr>
          <w:lang w:val="hr-HR"/>
        </w:rPr>
        <w:tab/>
      </w:r>
    </w:p>
    <w:p w14:paraId="629CD0B7" w14:textId="77777777" w:rsidR="00424536" w:rsidRPr="00225313" w:rsidRDefault="00424536" w:rsidP="005F494D">
      <w:pPr>
        <w:pStyle w:val="OCJENSKIRADOVIOdlomak3NASTAVAKODLOMKA"/>
        <w:jc w:val="left"/>
        <w:rPr>
          <w:strike/>
        </w:rPr>
      </w:pPr>
    </w:p>
    <w:p w14:paraId="34FFF0C5" w14:textId="77777777" w:rsidR="00424536" w:rsidRPr="00225313" w:rsidRDefault="00424536" w:rsidP="005F494D">
      <w:pPr>
        <w:pStyle w:val="OCJENSKIRADOVIOdlomak3NASTAVAKODLOMKA"/>
        <w:jc w:val="left"/>
        <w:sectPr w:rsidR="00424536" w:rsidRPr="00225313" w:rsidSect="00CF6BB4">
          <w:headerReference w:type="default" r:id="rId9"/>
          <w:footerReference w:type="default" r:id="rId10"/>
          <w:pgSz w:w="11907" w:h="16840" w:code="9"/>
          <w:pgMar w:top="1701" w:right="1418" w:bottom="1701" w:left="1418" w:header="1134" w:footer="1134" w:gutter="0"/>
          <w:pgNumType w:fmt="lowerRoman"/>
          <w:cols w:space="708"/>
          <w:docGrid w:linePitch="360"/>
        </w:sectPr>
      </w:pPr>
    </w:p>
    <w:p w14:paraId="71AD81FC" w14:textId="58C7E95E" w:rsidR="00424536" w:rsidRPr="00225313" w:rsidRDefault="00424536" w:rsidP="0044240A">
      <w:pPr>
        <w:pStyle w:val="OCJENSKIRADOVI1Naslovpoglavlja"/>
      </w:pPr>
      <w:bookmarkStart w:id="2" w:name="_Toc256085210"/>
      <w:bookmarkStart w:id="3" w:name="_Toc355955749"/>
      <w:bookmarkStart w:id="4" w:name="_Toc103335692"/>
      <w:r w:rsidRPr="00225313">
        <w:lastRenderedPageBreak/>
        <w:t>UVOD</w:t>
      </w:r>
      <w:bookmarkEnd w:id="2"/>
      <w:bookmarkEnd w:id="3"/>
      <w:bookmarkEnd w:id="4"/>
    </w:p>
    <w:p w14:paraId="28609CA1" w14:textId="77777777" w:rsidR="00424536" w:rsidRPr="00225313" w:rsidRDefault="00424536" w:rsidP="0044240A">
      <w:pPr>
        <w:pStyle w:val="OCJENSKIRADOVIOdlomak3NASTAVAKODLOMKA"/>
      </w:pPr>
    </w:p>
    <w:p w14:paraId="3F72DF8B" w14:textId="68AB7947" w:rsidR="00800CD4" w:rsidRPr="00225313" w:rsidRDefault="00773562" w:rsidP="00C93A2C">
      <w:pPr>
        <w:pStyle w:val="OCJENSKIRADOVIOdlomak3NASTAVAKODLOMKA"/>
        <w:ind w:firstLine="720"/>
      </w:pPr>
      <w:r>
        <w:t>Od svojih početaka prije otprilike pola stoljeća pa sve do danas</w:t>
      </w:r>
      <w:r w:rsidR="00CE26F8" w:rsidRPr="00225313">
        <w:t xml:space="preserve"> </w:t>
      </w:r>
      <w:r w:rsidR="00652156" w:rsidRPr="00225313">
        <w:t>supramolekulsk</w:t>
      </w:r>
      <w:r w:rsidR="00652156">
        <w:t>u</w:t>
      </w:r>
      <w:r w:rsidR="00652156" w:rsidRPr="00225313">
        <w:t xml:space="preserve"> </w:t>
      </w:r>
      <w:r w:rsidR="00CE26F8" w:rsidRPr="00225313">
        <w:t>kemij</w:t>
      </w:r>
      <w:r>
        <w:t xml:space="preserve">u prati </w:t>
      </w:r>
      <w:r w:rsidR="00CE26F8" w:rsidRPr="00225313">
        <w:t>veoma brz</w:t>
      </w:r>
      <w:r>
        <w:t>i</w:t>
      </w:r>
      <w:r w:rsidR="00CE26F8" w:rsidRPr="00225313">
        <w:t xml:space="preserve"> razv</w:t>
      </w:r>
      <w:r>
        <w:t>itak</w:t>
      </w:r>
      <w:r w:rsidR="00CE26F8" w:rsidRPr="00225313">
        <w:t xml:space="preserve">. </w:t>
      </w:r>
      <w:r w:rsidR="008E445D">
        <w:t xml:space="preserve">Otkrićem </w:t>
      </w:r>
      <w:r w:rsidR="001959F0" w:rsidRPr="00225313">
        <w:t xml:space="preserve">da neki spojevi </w:t>
      </w:r>
      <w:r w:rsidR="00AC1C51" w:rsidRPr="00225313">
        <w:t xml:space="preserve">jače </w:t>
      </w:r>
      <w:r w:rsidR="001959F0" w:rsidRPr="00225313">
        <w:t xml:space="preserve">vežu određene ione/moleuke počela je „potraga“ za </w:t>
      </w:r>
      <w:r w:rsidR="002A3137" w:rsidRPr="00225313">
        <w:t>manjim</w:t>
      </w:r>
      <w:r w:rsidR="001959F0" w:rsidRPr="00225313">
        <w:t xml:space="preserve"> spojevima koji mogu oponašati velike biomolekule na način da </w:t>
      </w:r>
      <w:r w:rsidR="00AC1C51" w:rsidRPr="00225313">
        <w:t>imaju njihovu specifičnost i selektivnost</w:t>
      </w:r>
      <w:r w:rsidR="002A3137" w:rsidRPr="00225313">
        <w:t xml:space="preserve"> vezanja određenog iona ili molekule</w:t>
      </w:r>
      <w:r w:rsidR="00CD160C" w:rsidRPr="00225313">
        <w:t>.</w:t>
      </w:r>
      <w:r w:rsidR="000E16BA" w:rsidRPr="000E16BA">
        <w:rPr>
          <w:vertAlign w:val="superscript"/>
        </w:rPr>
        <w:t>1</w:t>
      </w:r>
      <w:r w:rsidR="00CD160C" w:rsidRPr="00225313">
        <w:t xml:space="preserve"> Ti tzv. manji spojevi zovu se supramolekule i najčešće </w:t>
      </w:r>
      <w:r w:rsidR="004135C7" w:rsidRPr="00225313">
        <w:t>su makrocikli</w:t>
      </w:r>
      <w:r w:rsidR="008E445D">
        <w:t xml:space="preserve"> </w:t>
      </w:r>
      <w:r w:rsidR="008F4DE4" w:rsidRPr="00225313">
        <w:t xml:space="preserve">tj. </w:t>
      </w:r>
      <w:r w:rsidR="006401E7">
        <w:t>s</w:t>
      </w:r>
      <w:r w:rsidR="008F4DE4" w:rsidRPr="00225313">
        <w:t>astoje se</w:t>
      </w:r>
      <w:r w:rsidR="00CD160C" w:rsidRPr="00225313">
        <w:t xml:space="preserve"> od ponavljajućih podjedinica povezanih u cikličku strukturu koja na taj način stvara vezno mjesto.</w:t>
      </w:r>
      <w:r w:rsidR="002C097A" w:rsidRPr="002C097A">
        <w:rPr>
          <w:vertAlign w:val="superscript"/>
        </w:rPr>
        <w:t>2,3</w:t>
      </w:r>
      <w:r w:rsidR="00CD160C" w:rsidRPr="00225313">
        <w:t xml:space="preserve"> Razvoj supramolekulske kemije utječe i na razvoj drugih polja poput, biologije, kemije materijala, nanotehnologije analitičke kemije i katalize u kojima se sve češće koriste supramolekulski receptori.</w:t>
      </w:r>
      <w:r w:rsidR="00CB1A60" w:rsidRPr="00225313">
        <w:rPr>
          <w:vertAlign w:val="superscript"/>
        </w:rPr>
        <w:t>1</w:t>
      </w:r>
      <w:r w:rsidR="00CD160C" w:rsidRPr="00225313">
        <w:t xml:space="preserve"> Na vezanje molekula i iona na supramolekulske receptore utječe </w:t>
      </w:r>
      <w:r w:rsidR="002A3137" w:rsidRPr="00225313">
        <w:t>velik broj parametara</w:t>
      </w:r>
      <w:r w:rsidR="00AC1C51" w:rsidRPr="00225313">
        <w:t xml:space="preserve">. </w:t>
      </w:r>
      <w:r w:rsidR="007219EE" w:rsidRPr="00225313">
        <w:t>Neki od njih su veličina veznog mjesta, funkcionalne skupine u veznom mjestu i vrste međumolekulskih interakcija s molekulom gosta te na kraju topljivost i solvatacija u određenom otapalu.</w:t>
      </w:r>
      <w:r w:rsidR="00357657" w:rsidRPr="00225313">
        <w:t xml:space="preserve"> </w:t>
      </w:r>
      <w:r w:rsidR="002A3137" w:rsidRPr="00225313">
        <w:t>Ti uvjeti međusobno su povezani, funkcionalna skupina u veznom mjestu mo</w:t>
      </w:r>
      <w:r w:rsidR="00E00691">
        <w:t>ž</w:t>
      </w:r>
      <w:r w:rsidR="002A3137" w:rsidRPr="00225313">
        <w:t xml:space="preserve">e odrediti njegovu veličinu, a obzirom na </w:t>
      </w:r>
      <w:r w:rsidR="00890A2B">
        <w:t>elektrostatsku prirodu različitih skupina može utjecati i na topljivost receptora.</w:t>
      </w:r>
      <w:r w:rsidR="002A3137" w:rsidRPr="00225313">
        <w:t>. Iz navedenog je vidljivo da dizajn supramolekulskih receptora nije jednostavan</w:t>
      </w:r>
      <w:r w:rsidR="002D4A44">
        <w:t>.</w:t>
      </w:r>
      <w:r w:rsidR="002A3137" w:rsidRPr="00225313">
        <w:t xml:space="preserve"> </w:t>
      </w:r>
      <w:r w:rsidR="002D4A44">
        <w:t>Z</w:t>
      </w:r>
      <w:r w:rsidR="002A3137" w:rsidRPr="00225313">
        <w:t xml:space="preserve">bog širokog spektra funkcionalnih skupina </w:t>
      </w:r>
      <w:r w:rsidR="004C026C" w:rsidRPr="00225313">
        <w:t xml:space="preserve">polje supramolekuske kemije vrlo je raznoliko. </w:t>
      </w:r>
      <w:r w:rsidR="00BA7334" w:rsidRPr="00225313">
        <w:t xml:space="preserve">Selektivnost </w:t>
      </w:r>
      <w:r w:rsidR="002D4A44">
        <w:t xml:space="preserve">i afinitet </w:t>
      </w:r>
      <w:r w:rsidR="00BA7334" w:rsidRPr="00225313">
        <w:t>receptora prema ionima i molekulama određen</w:t>
      </w:r>
      <w:r w:rsidR="0029027D">
        <w:t>i su</w:t>
      </w:r>
      <w:r w:rsidR="00BA7334" w:rsidRPr="00225313">
        <w:t xml:space="preserve"> konstantom stabilnosti nastalih kompleksa, no za daljnji razvoj nekog receptora, odnosno poboljšanja njegove selektivnosti</w:t>
      </w:r>
      <w:r w:rsidR="00C83AD9">
        <w:t xml:space="preserve"> ili afiniteta</w:t>
      </w:r>
      <w:r w:rsidR="00BA7334" w:rsidRPr="00225313">
        <w:t xml:space="preserve"> taj parametar nije dovoljan s obzirom da konstanta stabilnosti ima dva doprinosa – entalpijski i entropijski. </w:t>
      </w:r>
    </w:p>
    <w:tbl>
      <w:tblPr>
        <w:tblStyle w:val="TableGrid"/>
        <w:tblpPr w:leftFromText="180" w:rightFromText="180" w:vertAnchor="text" w:horzAnchor="margin" w:tblpY="195"/>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gridCol w:w="628"/>
      </w:tblGrid>
      <w:tr w:rsidR="00800CD4" w:rsidRPr="00225313" w14:paraId="35CE8145" w14:textId="77777777" w:rsidTr="00606224">
        <w:trPr>
          <w:trHeight w:val="144"/>
        </w:trPr>
        <w:tc>
          <w:tcPr>
            <w:tcW w:w="8460" w:type="dxa"/>
            <w:vAlign w:val="center"/>
          </w:tcPr>
          <w:p w14:paraId="24C23C3C" w14:textId="066541DB" w:rsidR="00800CD4" w:rsidRPr="00225313" w:rsidRDefault="00800CD4" w:rsidP="00606224">
            <w:pPr>
              <w:ind w:left="432"/>
              <w:contextualSpacing/>
              <w:jc w:val="center"/>
              <w:rPr>
                <w:iCs/>
                <w:lang w:val="hr-HR"/>
              </w:rPr>
            </w:pPr>
            <m:oMathPara>
              <m:oMath>
                <m:r>
                  <w:rPr>
                    <w:rFonts w:ascii="Cambria Math" w:hAnsi="Cambria Math"/>
                    <w:lang w:val="hr-HR"/>
                  </w:rPr>
                  <m:t>-RT</m:t>
                </m:r>
                <m:r>
                  <m:rPr>
                    <m:sty m:val="p"/>
                  </m:rPr>
                  <w:rPr>
                    <w:rFonts w:ascii="Cambria Math" w:hAnsi="Cambria Math"/>
                    <w:lang w:val="hr-HR"/>
                  </w:rPr>
                  <m:t>ln(</m:t>
                </m:r>
                <m:sSup>
                  <m:sSupPr>
                    <m:ctrlPr>
                      <w:rPr>
                        <w:rFonts w:ascii="Cambria Math" w:hAnsi="Cambria Math"/>
                        <w:i/>
                        <w:lang w:val="hr-HR"/>
                      </w:rPr>
                    </m:ctrlPr>
                  </m:sSupPr>
                  <m:e>
                    <m:r>
                      <w:rPr>
                        <w:rFonts w:ascii="Cambria Math" w:hAnsi="Cambria Math"/>
                        <w:lang w:val="hr-HR"/>
                      </w:rPr>
                      <m:t>K</m:t>
                    </m:r>
                  </m:e>
                  <m:sup>
                    <m:r>
                      <m:rPr>
                        <m:sty m:val="p"/>
                      </m:rPr>
                      <w:rPr>
                        <w:rFonts w:ascii="Cambria Math" w:hAnsi="Cambria Math" w:cs="Arial"/>
                        <w:strike/>
                        <w:color w:val="222222"/>
                        <w:sz w:val="17"/>
                        <w:szCs w:val="17"/>
                        <w:shd w:val="clear" w:color="auto" w:fill="FFFFFF"/>
                        <w:lang w:val="hr-HR"/>
                      </w:rPr>
                      <m:t>o</m:t>
                    </m:r>
                  </m:sup>
                </m:sSup>
                <m:r>
                  <m:rPr>
                    <m:sty m:val="p"/>
                  </m:rPr>
                  <w:rPr>
                    <w:rFonts w:ascii="Cambria Math" w:hAnsi="Cambria Math"/>
                    <w:lang w:val="hr-HR"/>
                  </w:rPr>
                  <m:t>)</m:t>
                </m:r>
                <m:r>
                  <w:rPr>
                    <w:rFonts w:ascii="Cambria Math" w:hAnsi="Cambria Math"/>
                    <w:lang w:val="hr-HR"/>
                  </w:rPr>
                  <m:t>=</m:t>
                </m:r>
                <m:sSub>
                  <m:sSubPr>
                    <m:ctrlPr>
                      <w:rPr>
                        <w:rFonts w:ascii="Cambria Math" w:hAnsi="Cambria Math"/>
                        <w:i/>
                        <w:lang w:val="hr-HR"/>
                      </w:rPr>
                    </m:ctrlPr>
                  </m:sSubPr>
                  <m:e>
                    <m:r>
                      <m:rPr>
                        <m:sty m:val="p"/>
                      </m:rPr>
                      <w:rPr>
                        <w:rFonts w:ascii="Cambria Math" w:hAnsi="Cambria Math"/>
                        <w:lang w:val="hr-HR"/>
                      </w:rPr>
                      <m:t>∆</m:t>
                    </m:r>
                  </m:e>
                  <m:sub>
                    <m:r>
                      <m:rPr>
                        <m:sty m:val="p"/>
                      </m:rPr>
                      <w:rPr>
                        <w:rFonts w:ascii="Cambria Math" w:hAnsi="Cambria Math"/>
                        <w:lang w:val="hr-HR"/>
                      </w:rPr>
                      <m:t>r</m:t>
                    </m:r>
                  </m:sub>
                </m:sSub>
                <m:sSup>
                  <m:sSupPr>
                    <m:ctrlPr>
                      <w:rPr>
                        <w:rFonts w:ascii="Cambria Math" w:hAnsi="Cambria Math"/>
                        <w:i/>
                        <w:lang w:val="hr-HR"/>
                      </w:rPr>
                    </m:ctrlPr>
                  </m:sSupPr>
                  <m:e>
                    <m:r>
                      <w:rPr>
                        <w:rFonts w:ascii="Cambria Math" w:hAnsi="Cambria Math"/>
                        <w:lang w:val="hr-HR"/>
                      </w:rPr>
                      <m:t>G</m:t>
                    </m:r>
                  </m:e>
                  <m:sup>
                    <m:r>
                      <m:rPr>
                        <m:sty m:val="p"/>
                      </m:rPr>
                      <w:rPr>
                        <w:rFonts w:ascii="Cambria Math" w:hAnsi="Cambria Math" w:cs="Arial"/>
                        <w:strike/>
                        <w:color w:val="222222"/>
                        <w:sz w:val="17"/>
                        <w:szCs w:val="17"/>
                        <w:shd w:val="clear" w:color="auto" w:fill="FFFFFF"/>
                        <w:lang w:val="hr-HR"/>
                      </w:rPr>
                      <m:t>o</m:t>
                    </m:r>
                  </m:sup>
                </m:sSup>
                <m:r>
                  <w:rPr>
                    <w:rFonts w:ascii="Cambria Math" w:hAnsi="Cambria Math"/>
                    <w:lang w:val="hr-HR"/>
                  </w:rPr>
                  <m:t>=</m:t>
                </m:r>
                <m:sSub>
                  <m:sSubPr>
                    <m:ctrlPr>
                      <w:rPr>
                        <w:rFonts w:ascii="Cambria Math" w:hAnsi="Cambria Math"/>
                        <w:i/>
                        <w:lang w:val="hr-HR"/>
                      </w:rPr>
                    </m:ctrlPr>
                  </m:sSubPr>
                  <m:e>
                    <m:r>
                      <m:rPr>
                        <m:sty m:val="p"/>
                      </m:rPr>
                      <w:rPr>
                        <w:rFonts w:ascii="Cambria Math" w:hAnsi="Cambria Math"/>
                        <w:lang w:val="hr-HR"/>
                      </w:rPr>
                      <m:t>∆</m:t>
                    </m:r>
                  </m:e>
                  <m:sub>
                    <m:r>
                      <m:rPr>
                        <m:sty m:val="p"/>
                      </m:rPr>
                      <w:rPr>
                        <w:rFonts w:ascii="Cambria Math" w:hAnsi="Cambria Math"/>
                        <w:lang w:val="hr-HR"/>
                      </w:rPr>
                      <m:t>r</m:t>
                    </m:r>
                  </m:sub>
                </m:sSub>
                <m:sSup>
                  <m:sSupPr>
                    <m:ctrlPr>
                      <w:rPr>
                        <w:rFonts w:ascii="Cambria Math" w:hAnsi="Cambria Math"/>
                        <w:i/>
                        <w:lang w:val="hr-HR"/>
                      </w:rPr>
                    </m:ctrlPr>
                  </m:sSupPr>
                  <m:e>
                    <m:r>
                      <w:rPr>
                        <w:rFonts w:ascii="Cambria Math" w:hAnsi="Cambria Math"/>
                        <w:lang w:val="hr-HR"/>
                      </w:rPr>
                      <m:t>H</m:t>
                    </m:r>
                  </m:e>
                  <m:sup>
                    <m:r>
                      <m:rPr>
                        <m:sty m:val="p"/>
                      </m:rPr>
                      <w:rPr>
                        <w:rFonts w:ascii="Cambria Math" w:hAnsi="Cambria Math" w:cs="Arial"/>
                        <w:strike/>
                        <w:color w:val="222222"/>
                        <w:sz w:val="17"/>
                        <w:szCs w:val="17"/>
                        <w:shd w:val="clear" w:color="auto" w:fill="FFFFFF"/>
                        <w:lang w:val="hr-HR"/>
                      </w:rPr>
                      <m:t>o</m:t>
                    </m:r>
                  </m:sup>
                </m:sSup>
                <m:sSub>
                  <m:sSubPr>
                    <m:ctrlPr>
                      <w:rPr>
                        <w:rFonts w:ascii="Cambria Math" w:hAnsi="Cambria Math"/>
                        <w:i/>
                        <w:lang w:val="hr-HR"/>
                      </w:rPr>
                    </m:ctrlPr>
                  </m:sSubPr>
                  <m:e>
                    <m:r>
                      <m:rPr>
                        <m:sty m:val="p"/>
                      </m:rPr>
                      <w:rPr>
                        <w:rFonts w:ascii="Cambria Math" w:hAnsi="Cambria Math"/>
                        <w:lang w:val="hr-HR"/>
                      </w:rPr>
                      <m:t>-</m:t>
                    </m:r>
                    <m:r>
                      <w:rPr>
                        <w:rFonts w:ascii="Cambria Math" w:hAnsi="Cambria Math"/>
                        <w:lang w:val="hr-HR"/>
                      </w:rPr>
                      <m:t>T</m:t>
                    </m:r>
                    <m:r>
                      <m:rPr>
                        <m:sty m:val="p"/>
                      </m:rPr>
                      <w:rPr>
                        <w:rFonts w:ascii="Cambria Math" w:hAnsi="Cambria Math"/>
                        <w:lang w:val="hr-HR"/>
                      </w:rPr>
                      <m:t>∆</m:t>
                    </m:r>
                  </m:e>
                  <m:sub>
                    <m:r>
                      <m:rPr>
                        <m:sty m:val="p"/>
                      </m:rPr>
                      <w:rPr>
                        <w:rFonts w:ascii="Cambria Math" w:hAnsi="Cambria Math"/>
                        <w:lang w:val="hr-HR"/>
                      </w:rPr>
                      <m:t>r</m:t>
                    </m:r>
                  </m:sub>
                </m:sSub>
                <m:sSup>
                  <m:sSupPr>
                    <m:ctrlPr>
                      <w:rPr>
                        <w:rFonts w:ascii="Cambria Math" w:hAnsi="Cambria Math"/>
                        <w:i/>
                        <w:lang w:val="hr-HR"/>
                      </w:rPr>
                    </m:ctrlPr>
                  </m:sSupPr>
                  <m:e>
                    <m:r>
                      <w:rPr>
                        <w:rFonts w:ascii="Cambria Math" w:hAnsi="Cambria Math"/>
                        <w:lang w:val="hr-HR"/>
                      </w:rPr>
                      <m:t>S</m:t>
                    </m:r>
                  </m:e>
                  <m:sup>
                    <m:r>
                      <m:rPr>
                        <m:sty m:val="p"/>
                      </m:rPr>
                      <w:rPr>
                        <w:rFonts w:ascii="Cambria Math" w:hAnsi="Cambria Math" w:cs="Arial"/>
                        <w:strike/>
                        <w:color w:val="222222"/>
                        <w:sz w:val="17"/>
                        <w:szCs w:val="17"/>
                        <w:shd w:val="clear" w:color="auto" w:fill="FFFFFF"/>
                        <w:lang w:val="hr-HR"/>
                      </w:rPr>
                      <m:t>o</m:t>
                    </m:r>
                  </m:sup>
                </m:sSup>
              </m:oMath>
            </m:oMathPara>
          </w:p>
        </w:tc>
        <w:tc>
          <w:tcPr>
            <w:tcW w:w="628" w:type="dxa"/>
            <w:vAlign w:val="center"/>
          </w:tcPr>
          <w:p w14:paraId="4A8D9D0B" w14:textId="762BBD20" w:rsidR="00800CD4" w:rsidRPr="00225313" w:rsidRDefault="00800CD4" w:rsidP="00606224">
            <w:pPr>
              <w:contextualSpacing/>
              <w:rPr>
                <w:lang w:val="hr-HR"/>
              </w:rPr>
            </w:pPr>
          </w:p>
        </w:tc>
      </w:tr>
    </w:tbl>
    <w:p w14:paraId="7CBE1F43" w14:textId="77777777" w:rsidR="00800CD4" w:rsidRPr="00225313" w:rsidRDefault="00800CD4" w:rsidP="00800CD4">
      <w:pPr>
        <w:pStyle w:val="OCJENSKIRADOVIOdlomak3NASTAVAKODLOMKA"/>
        <w:ind w:firstLine="720"/>
      </w:pPr>
    </w:p>
    <w:p w14:paraId="1AEB6BFC" w14:textId="159CC3BB" w:rsidR="00F04DE6" w:rsidRPr="00225313" w:rsidRDefault="00BA7334" w:rsidP="00800CD4">
      <w:pPr>
        <w:pStyle w:val="OCJENSKIRADOVIOdlomak3NASTAVAKODLOMKA"/>
        <w:ind w:firstLine="720"/>
      </w:pPr>
      <w:r w:rsidRPr="00225313">
        <w:t xml:space="preserve">Dok je prvi </w:t>
      </w:r>
      <w:r w:rsidR="000F44A7">
        <w:t xml:space="preserve">doprinos </w:t>
      </w:r>
      <w:r w:rsidRPr="00225313">
        <w:t xml:space="preserve">vezan uz međumolekulske interakcije koje se </w:t>
      </w:r>
      <w:r w:rsidR="00D57E2E">
        <w:t xml:space="preserve">nastaju ili nestaju </w:t>
      </w:r>
      <w:r w:rsidRPr="00225313">
        <w:t xml:space="preserve">u reakciji kompleksiranja, drugi </w:t>
      </w:r>
      <w:r w:rsidR="000F44A7">
        <w:t xml:space="preserve">doprinos </w:t>
      </w:r>
      <w:r w:rsidRPr="00225313">
        <w:t>uk</w:t>
      </w:r>
      <w:r w:rsidR="000F44A7">
        <w:t>a</w:t>
      </w:r>
      <w:r w:rsidRPr="00225313">
        <w:t>zuje na promjene u strukturi, geometriji, rigidnosti re</w:t>
      </w:r>
      <w:r w:rsidR="000F44A7">
        <w:t>a</w:t>
      </w:r>
      <w:r w:rsidRPr="00225313">
        <w:t>ktanata</w:t>
      </w:r>
      <w:r w:rsidR="000F44A7">
        <w:t xml:space="preserve"> u odnosu na produkte</w:t>
      </w:r>
      <w:r w:rsidRPr="00225313">
        <w:t xml:space="preserve">, ali i </w:t>
      </w:r>
      <w:r w:rsidR="009F349A">
        <w:t xml:space="preserve">na iste promjene kod </w:t>
      </w:r>
      <w:r w:rsidRPr="00225313">
        <w:t>molekula otapala</w:t>
      </w:r>
      <w:r w:rsidR="009F349A">
        <w:t xml:space="preserve"> koje okružuju sudionike reakcije</w:t>
      </w:r>
      <w:r w:rsidR="00C93A2C" w:rsidRPr="00225313">
        <w:t>.</w:t>
      </w:r>
      <w:r w:rsidRPr="00225313">
        <w:t xml:space="preserve"> </w:t>
      </w:r>
      <w:r w:rsidR="00C93A2C" w:rsidRPr="00225313">
        <w:t xml:space="preserve">Vidljivo je da ti doprinosi nisu povezani jedan s drugim i </w:t>
      </w:r>
      <w:r w:rsidR="00274F5F" w:rsidRPr="00225313">
        <w:t>najčešće</w:t>
      </w:r>
      <w:r w:rsidR="00C93A2C" w:rsidRPr="00225313">
        <w:t xml:space="preserve"> dolazi do njihove kompenzacije, odnosno ako </w:t>
      </w:r>
      <w:r w:rsidR="00652156" w:rsidRPr="00225313">
        <w:t>entalpijsk</w:t>
      </w:r>
      <w:r w:rsidR="00652156">
        <w:t>i</w:t>
      </w:r>
      <w:r w:rsidR="00652156" w:rsidRPr="00225313">
        <w:t xml:space="preserve"> </w:t>
      </w:r>
      <w:r w:rsidR="00C93A2C" w:rsidRPr="00225313">
        <w:t xml:space="preserve">doprinos </w:t>
      </w:r>
      <w:r w:rsidR="00274F5F">
        <w:t xml:space="preserve">postane povoljniji </w:t>
      </w:r>
      <w:r w:rsidR="00C93A2C" w:rsidRPr="00225313">
        <w:t>vrlo vjerojatno će</w:t>
      </w:r>
      <w:r w:rsidR="00274F5F">
        <w:t xml:space="preserve"> se</w:t>
      </w:r>
      <w:r w:rsidR="00C93A2C" w:rsidRPr="00225313">
        <w:t xml:space="preserve"> smanjiti povoljnost entropijskog</w:t>
      </w:r>
      <w:r w:rsidR="00274F5F">
        <w:t xml:space="preserve"> doprinosa</w:t>
      </w:r>
      <w:r w:rsidR="00C93A2C" w:rsidRPr="00225313">
        <w:t xml:space="preserve">. Moći objasniti entalpijski i entropijski </w:t>
      </w:r>
      <w:r w:rsidR="00C93A2C" w:rsidRPr="00225313">
        <w:lastRenderedPageBreak/>
        <w:t xml:space="preserve">doprinos reakcije kompleksiranja na način da se odredi što najviše utječe na njihovu povoljnost/nepovoljnost vrlo je bitno  u </w:t>
      </w:r>
      <w:r w:rsidR="003C6651">
        <w:t>daljnje</w:t>
      </w:r>
      <w:r w:rsidR="003C6651" w:rsidRPr="00225313">
        <w:t>m</w:t>
      </w:r>
      <w:r w:rsidR="00C93A2C" w:rsidRPr="00225313">
        <w:t xml:space="preserve"> razvoju supramolekulskih receptora.</w:t>
      </w:r>
    </w:p>
    <w:p w14:paraId="3D764B9C" w14:textId="0A93BBF6" w:rsidR="00C93A2C" w:rsidRPr="00225313" w:rsidRDefault="004C026C" w:rsidP="00C93A2C">
      <w:pPr>
        <w:pStyle w:val="OCJENSKIRADOVIOdlomak3NASTAVAKODLOMKA"/>
        <w:ind w:firstLine="720"/>
        <w:rPr>
          <w:highlight w:val="yellow"/>
        </w:rPr>
      </w:pPr>
      <w:r w:rsidRPr="00225313">
        <w:t xml:space="preserve">Cilj ovog rada biti će pobliže objasniti faktore koji utječu na entalpijski i entropijski doprinos vezanju gosta na linearni i ciklički receptor od kojih su najčešći preorganizacija </w:t>
      </w:r>
      <w:r w:rsidR="00A746C3">
        <w:t>receptora</w:t>
      </w:r>
      <w:r w:rsidRPr="00225313">
        <w:t xml:space="preserve">, solvatacija/desolvatacija </w:t>
      </w:r>
      <w:r w:rsidR="00D8325B" w:rsidRPr="00225313">
        <w:t>i</w:t>
      </w:r>
      <w:r w:rsidRPr="00225313">
        <w:t xml:space="preserve"> kooperativnos</w:t>
      </w:r>
      <w:r w:rsidR="00800CD4" w:rsidRPr="00225313">
        <w:t>t.</w:t>
      </w:r>
    </w:p>
    <w:p w14:paraId="13491852" w14:textId="77777777" w:rsidR="001959F0" w:rsidRPr="00225313" w:rsidRDefault="001959F0" w:rsidP="00F04DE6">
      <w:pPr>
        <w:pStyle w:val="OCJENSKIRADOVIOdlomak3NASTAVAKODLOMKA"/>
        <w:ind w:firstLine="720"/>
      </w:pPr>
    </w:p>
    <w:p w14:paraId="493A16A7" w14:textId="77777777" w:rsidR="00424536" w:rsidRPr="00225313" w:rsidRDefault="00424536" w:rsidP="0044240A">
      <w:pPr>
        <w:pStyle w:val="OCJENSKIRADOVIOdlomak3NASTAVAKODLOMKA"/>
        <w:sectPr w:rsidR="00424536" w:rsidRPr="00225313" w:rsidSect="00CF6BB4">
          <w:headerReference w:type="default" r:id="rId11"/>
          <w:footerReference w:type="default" r:id="rId12"/>
          <w:pgSz w:w="11907" w:h="16840" w:code="9"/>
          <w:pgMar w:top="1701" w:right="1418" w:bottom="1701" w:left="1418" w:header="1134" w:footer="1134" w:gutter="0"/>
          <w:pgNumType w:start="1"/>
          <w:cols w:space="708"/>
          <w:docGrid w:linePitch="360"/>
        </w:sectPr>
      </w:pPr>
    </w:p>
    <w:p w14:paraId="5483D092" w14:textId="3E68DD4C" w:rsidR="00424536" w:rsidRPr="00225313" w:rsidRDefault="00424536" w:rsidP="00070565">
      <w:pPr>
        <w:pStyle w:val="OCJENSKIRADOVI1Naslovpoglavlja"/>
      </w:pPr>
      <w:bookmarkStart w:id="5" w:name="_Toc256085213"/>
      <w:bookmarkStart w:id="6" w:name="_Toc355955752"/>
      <w:bookmarkStart w:id="7" w:name="_Toc103335693"/>
      <w:r w:rsidRPr="00225313">
        <w:lastRenderedPageBreak/>
        <w:t>LITERATURNI PREGLED</w:t>
      </w:r>
      <w:bookmarkEnd w:id="5"/>
      <w:bookmarkEnd w:id="6"/>
      <w:bookmarkEnd w:id="7"/>
    </w:p>
    <w:p w14:paraId="5FE54AF4" w14:textId="08BB6DC7" w:rsidR="00424536" w:rsidRPr="00225313" w:rsidRDefault="00D2406A" w:rsidP="00845612">
      <w:pPr>
        <w:pStyle w:val="OCJENSKIRADOVI2Podnaslovpoglavlja"/>
      </w:pPr>
      <w:bookmarkStart w:id="8" w:name="_Toc103335694"/>
      <w:r w:rsidRPr="00225313">
        <w:t>Preorganizacija</w:t>
      </w:r>
      <w:bookmarkEnd w:id="8"/>
    </w:p>
    <w:p w14:paraId="196F18B4" w14:textId="77777777" w:rsidR="006C086E" w:rsidRPr="00225313" w:rsidRDefault="006C086E" w:rsidP="006C086E">
      <w:pPr>
        <w:rPr>
          <w:lang w:val="hr-HR"/>
        </w:rPr>
      </w:pPr>
    </w:p>
    <w:p w14:paraId="1B46A690" w14:textId="365693CF" w:rsidR="000912D1" w:rsidRPr="00225313" w:rsidRDefault="00124565" w:rsidP="00B027C5">
      <w:pPr>
        <w:pStyle w:val="OCJENSKIRADOVIOdlomak3NASTAVAKODLOMKA"/>
      </w:pPr>
      <w:r w:rsidRPr="00225313">
        <w:t xml:space="preserve">Jedan od važnijih </w:t>
      </w:r>
      <w:r w:rsidR="00A3199B" w:rsidRPr="00225313">
        <w:t xml:space="preserve">doprinosa vezanju gosta na receptor je </w:t>
      </w:r>
      <w:r w:rsidR="00A00304">
        <w:t xml:space="preserve">njegova </w:t>
      </w:r>
      <w:r w:rsidR="00A3199B" w:rsidRPr="00225313">
        <w:t xml:space="preserve">preorganizacija. </w:t>
      </w:r>
      <w:r w:rsidR="00E76324" w:rsidRPr="00225313">
        <w:t xml:space="preserve">Iako do nje dolazi u slučaju cikličkog i linearnog </w:t>
      </w:r>
      <w:r w:rsidR="00A00304">
        <w:t>receptora</w:t>
      </w:r>
      <w:r w:rsidR="00A00304" w:rsidRPr="00225313">
        <w:t xml:space="preserve"> </w:t>
      </w:r>
      <w:r w:rsidR="00E76324" w:rsidRPr="00225313">
        <w:t>vezanje gosta na potonji uključuje nastajanje pseudocik</w:t>
      </w:r>
      <w:r w:rsidR="00E61003">
        <w:t>l</w:t>
      </w:r>
      <w:r w:rsidR="00E76324" w:rsidRPr="00225313">
        <w:t>ič</w:t>
      </w:r>
      <w:r w:rsidR="00E61003">
        <w:t>k</w:t>
      </w:r>
      <w:r w:rsidR="00E76324" w:rsidRPr="00225313">
        <w:t>e strukture kompleksa što znači da fleksibil</w:t>
      </w:r>
      <w:r w:rsidR="00B77CEC" w:rsidRPr="00225313">
        <w:t>ni</w:t>
      </w:r>
      <w:r w:rsidR="00E76324" w:rsidRPr="00225313">
        <w:t xml:space="preserve"> </w:t>
      </w:r>
      <w:r w:rsidR="00B77CEC" w:rsidRPr="00225313">
        <w:t xml:space="preserve">slobodni </w:t>
      </w:r>
      <w:r w:rsidR="00A00304">
        <w:t>receptor</w:t>
      </w:r>
      <w:r w:rsidR="00A00304" w:rsidRPr="00225313">
        <w:t xml:space="preserve"> </w:t>
      </w:r>
      <w:r w:rsidR="00B77CEC" w:rsidRPr="00225313">
        <w:t>postaje zakočen u određenoj konformaciji. Taj proces popraćen je gubitkom više stupnjeva slobode od kojih su najznačajniji rotacijski</w:t>
      </w:r>
      <w:r w:rsidR="00E61003">
        <w:t>,</w:t>
      </w:r>
      <w:r w:rsidR="00B77CEC" w:rsidRPr="00225313">
        <w:t xml:space="preserve"> što se odražava na vrlo nepovoljnu standardnu reakcijsku entropiju. Reorganizacija cikličkog </w:t>
      </w:r>
      <w:r w:rsidR="00A00304">
        <w:t>receptora</w:t>
      </w:r>
      <w:r w:rsidR="00A00304" w:rsidRPr="00225313">
        <w:t xml:space="preserve"> </w:t>
      </w:r>
      <w:r w:rsidR="00B77CEC" w:rsidRPr="00225313">
        <w:t xml:space="preserve">je uvelike </w:t>
      </w:r>
      <w:r w:rsidR="00A00304">
        <w:t xml:space="preserve">entropijski </w:t>
      </w:r>
      <w:r w:rsidR="00B77CEC" w:rsidRPr="00225313">
        <w:t xml:space="preserve">povoljnija zbog toga što se </w:t>
      </w:r>
      <w:r w:rsidR="00A00304">
        <w:t>on</w:t>
      </w:r>
      <w:r w:rsidR="00A00304" w:rsidRPr="00225313">
        <w:t xml:space="preserve"> </w:t>
      </w:r>
      <w:r w:rsidR="00B77CEC" w:rsidRPr="00225313">
        <w:t>već nalazi u cik</w:t>
      </w:r>
      <w:r w:rsidR="00E61003">
        <w:t>l</w:t>
      </w:r>
      <w:r w:rsidR="00B77CEC" w:rsidRPr="00225313">
        <w:t xml:space="preserve">ičkoj strukturi i ne dolazi do značajnijeg gubitka stupnjeva slobode. </w:t>
      </w:r>
      <w:r w:rsidR="008129CE" w:rsidRPr="00225313">
        <w:t xml:space="preserve">S druge strane, vezanje </w:t>
      </w:r>
      <w:r w:rsidR="00E92509" w:rsidRPr="00225313">
        <w:t>gosta na linea</w:t>
      </w:r>
      <w:r w:rsidR="00E61003">
        <w:t>r</w:t>
      </w:r>
      <w:r w:rsidR="00E92509" w:rsidRPr="00225313">
        <w:t>ni receptor na</w:t>
      </w:r>
      <w:r w:rsidR="00E61003">
        <w:t>j</w:t>
      </w:r>
      <w:r w:rsidR="00E92509" w:rsidRPr="00225313">
        <w:t>češće je entalpijski povoljnije. Standar</w:t>
      </w:r>
      <w:r w:rsidR="002846E5">
        <w:t>d</w:t>
      </w:r>
      <w:r w:rsidR="00E92509" w:rsidRPr="00225313">
        <w:t xml:space="preserve">na reakcijska entalpija između ostalog daje uvid u jakost (vrsta, udaljenost, kut) nastalih međumolekulskih interakcija prilikom vezanja. Ukoliko su funkcionalne skupine linearnog i cikličkog </w:t>
      </w:r>
      <w:r w:rsidR="00A00304">
        <w:t>receptora</w:t>
      </w:r>
      <w:r w:rsidR="00A00304" w:rsidRPr="00225313">
        <w:t xml:space="preserve"> </w:t>
      </w:r>
      <w:r w:rsidR="00E92509" w:rsidRPr="00225313">
        <w:t xml:space="preserve">iste, što bi isključivalo nastajanje drugačijih vrsta interakcija, tada će reakcijska entalpija biti povoljnija u slučaju acikličkog spoja zbog njegove </w:t>
      </w:r>
      <w:r w:rsidR="00A00304">
        <w:t xml:space="preserve">bolje </w:t>
      </w:r>
      <w:r w:rsidR="00E92509" w:rsidRPr="00225313">
        <w:t xml:space="preserve">reorganizacije oko gosta na način da nastale interakcije budu najjače (primjerice, udaljenost i kut vodikove veze) što je kod rigidnog gosta puno teže ostvariti. Primjer toga prikazan je u radu </w:t>
      </w:r>
      <w:r w:rsidR="009A694E" w:rsidRPr="00225313">
        <w:t>Fiehn i sur.</w:t>
      </w:r>
      <w:r w:rsidR="00107151">
        <w:rPr>
          <w:vertAlign w:val="superscript"/>
        </w:rPr>
        <w:t>4</w:t>
      </w:r>
      <w:r w:rsidR="000912D1" w:rsidRPr="00225313">
        <w:t xml:space="preserve"> u</w:t>
      </w:r>
      <w:r w:rsidR="000912D1" w:rsidRPr="00652156">
        <w:t xml:space="preserve"> </w:t>
      </w:r>
      <w:r w:rsidR="000912D1" w:rsidRPr="00225313">
        <w:t xml:space="preserve">kojem su </w:t>
      </w:r>
      <w:r w:rsidR="00CA3200" w:rsidRPr="00225313">
        <w:t xml:space="preserve">znanstvenici </w:t>
      </w:r>
      <w:r w:rsidR="000912D1" w:rsidRPr="00225313">
        <w:t xml:space="preserve">proučavali vezanje sulfatnog aniona na rigidni </w:t>
      </w:r>
      <w:r w:rsidR="00FD78B6" w:rsidRPr="00225313">
        <w:t xml:space="preserve">i fleksibilniji receptor </w:t>
      </w:r>
      <w:r w:rsidR="00906E8E" w:rsidRPr="00225313">
        <w:rPr>
          <w:b/>
        </w:rPr>
        <w:t>2a</w:t>
      </w:r>
      <w:r w:rsidR="00906E8E" w:rsidRPr="00225313">
        <w:t xml:space="preserve"> i </w:t>
      </w:r>
      <w:r w:rsidR="00906E8E" w:rsidRPr="00225313">
        <w:rPr>
          <w:b/>
        </w:rPr>
        <w:t xml:space="preserve">2b </w:t>
      </w:r>
      <w:r w:rsidR="00906E8E" w:rsidRPr="00225313">
        <w:t xml:space="preserve">(slika 1). Dobiveni rezultati ITC titracije prikazani su u tablici 1. </w:t>
      </w:r>
    </w:p>
    <w:p w14:paraId="3D79EEF3" w14:textId="032CC1A0" w:rsidR="00D2406A" w:rsidRPr="00225313" w:rsidRDefault="000912D1" w:rsidP="00906E8E">
      <w:pPr>
        <w:pStyle w:val="OCJENSKIRADOVIOdlomak3NASTAVAKODLOMKA"/>
        <w:jc w:val="center"/>
      </w:pPr>
      <w:r w:rsidRPr="00225313">
        <w:rPr>
          <w:noProof/>
          <w:lang w:eastAsia="hr-HR"/>
        </w:rPr>
        <w:drawing>
          <wp:inline distT="0" distB="0" distL="0" distR="0" wp14:anchorId="548A8C98" wp14:editId="3E423E82">
            <wp:extent cx="4052592" cy="2381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0573" cy="2403567"/>
                    </a:xfrm>
                    <a:prstGeom prst="rect">
                      <a:avLst/>
                    </a:prstGeom>
                  </pic:spPr>
                </pic:pic>
              </a:graphicData>
            </a:graphic>
          </wp:inline>
        </w:drawing>
      </w:r>
    </w:p>
    <w:p w14:paraId="5129DFA5" w14:textId="534ABE87" w:rsidR="00906E8E" w:rsidRPr="00225313" w:rsidRDefault="00906E8E" w:rsidP="00906E8E">
      <w:pPr>
        <w:pStyle w:val="OCJENSKIRADOVIOdlomak3NASTAVAKODLOMKA"/>
        <w:jc w:val="center"/>
      </w:pPr>
      <w:r w:rsidRPr="00225313">
        <w:rPr>
          <w:b/>
        </w:rPr>
        <w:t>Slika 1.</w:t>
      </w:r>
      <w:r w:rsidRPr="00225313">
        <w:t xml:space="preserve"> Struktura rigidnog i fleksibilnog receptora sastavljenih od ciklopeptida povezanih linkerima.</w:t>
      </w:r>
      <w:r w:rsidR="00107151">
        <w:rPr>
          <w:vertAlign w:val="superscript"/>
        </w:rPr>
        <w:t>4</w:t>
      </w:r>
    </w:p>
    <w:p w14:paraId="4C71A127" w14:textId="3B17E7A8" w:rsidR="00906E8E" w:rsidRPr="00225313" w:rsidRDefault="00906E8E" w:rsidP="00906E8E">
      <w:pPr>
        <w:pStyle w:val="OCJENSKIRADOVIOdlomak3NASTAVAKODLOMKA"/>
        <w:jc w:val="center"/>
      </w:pPr>
      <w:r w:rsidRPr="00225313">
        <w:rPr>
          <w:b/>
        </w:rPr>
        <w:lastRenderedPageBreak/>
        <w:t>Tablica 1.</w:t>
      </w:r>
      <w:r w:rsidRPr="00225313">
        <w:t xml:space="preserve"> Termodinamički parametri dobiveni ITC titracijama receptora </w:t>
      </w:r>
      <w:r w:rsidRPr="00225313">
        <w:rPr>
          <w:b/>
        </w:rPr>
        <w:t>2a</w:t>
      </w:r>
      <w:r w:rsidRPr="00225313">
        <w:t xml:space="preserve"> i </w:t>
      </w:r>
      <w:r w:rsidRPr="00225313">
        <w:rPr>
          <w:b/>
        </w:rPr>
        <w:t>2b</w:t>
      </w:r>
      <w:r w:rsidRPr="00225313">
        <w:t xml:space="preserve"> sa sulfatnim anionom.</w:t>
      </w:r>
      <w:r w:rsidR="00107151">
        <w:rPr>
          <w:vertAlign w:val="superscript"/>
        </w:rPr>
        <w:t>4</w:t>
      </w:r>
    </w:p>
    <w:tbl>
      <w:tblPr>
        <w:tblW w:w="4281" w:type="pct"/>
        <w:jc w:val="center"/>
        <w:tblLayout w:type="fixed"/>
        <w:tblCellMar>
          <w:left w:w="115" w:type="dxa"/>
          <w:right w:w="115" w:type="dxa"/>
        </w:tblCellMar>
        <w:tblLook w:val="04A0" w:firstRow="1" w:lastRow="0" w:firstColumn="1" w:lastColumn="0" w:noHBand="0" w:noVBand="1"/>
      </w:tblPr>
      <w:tblGrid>
        <w:gridCol w:w="1337"/>
        <w:gridCol w:w="1104"/>
        <w:gridCol w:w="1105"/>
        <w:gridCol w:w="1121"/>
        <w:gridCol w:w="1088"/>
        <w:gridCol w:w="1102"/>
        <w:gridCol w:w="1097"/>
        <w:gridCol w:w="10"/>
      </w:tblGrid>
      <w:tr w:rsidR="00003166" w:rsidRPr="00225313" w14:paraId="14C9FA82" w14:textId="77777777" w:rsidTr="00003166">
        <w:trPr>
          <w:gridAfter w:val="1"/>
          <w:wAfter w:w="6" w:type="pct"/>
          <w:trHeight w:val="454"/>
          <w:jc w:val="center"/>
        </w:trPr>
        <w:tc>
          <w:tcPr>
            <w:tcW w:w="839" w:type="pct"/>
            <w:vMerge w:val="restart"/>
            <w:tcBorders>
              <w:top w:val="single" w:sz="4" w:space="0" w:color="auto"/>
              <w:left w:val="nil"/>
              <w:bottom w:val="single" w:sz="4" w:space="0" w:color="auto"/>
              <w:right w:val="nil"/>
            </w:tcBorders>
            <w:shd w:val="clear" w:color="auto" w:fill="auto"/>
            <w:noWrap/>
            <w:vAlign w:val="center"/>
            <w:hideMark/>
          </w:tcPr>
          <w:p w14:paraId="4B7FB8E7" w14:textId="77777777" w:rsidR="00003166" w:rsidRPr="00225313" w:rsidRDefault="00003166" w:rsidP="00003166">
            <w:pPr>
              <w:jc w:val="center"/>
              <w:rPr>
                <w:color w:val="000000" w:themeColor="text1"/>
                <w:sz w:val="20"/>
                <w:szCs w:val="28"/>
                <w:lang w:val="hr-HR"/>
              </w:rPr>
            </w:pPr>
            <w:r w:rsidRPr="00225313">
              <w:rPr>
                <w:color w:val="000000" w:themeColor="text1"/>
                <w:sz w:val="20"/>
                <w:szCs w:val="28"/>
                <w:lang w:val="hr-HR"/>
              </w:rPr>
              <w:t>H</w:t>
            </w:r>
            <w:r w:rsidRPr="00225313">
              <w:rPr>
                <w:color w:val="000000" w:themeColor="text1"/>
                <w:sz w:val="20"/>
                <w:szCs w:val="28"/>
                <w:vertAlign w:val="subscript"/>
                <w:lang w:val="hr-HR"/>
              </w:rPr>
              <w:t>2</w:t>
            </w:r>
            <w:r w:rsidRPr="00225313">
              <w:rPr>
                <w:color w:val="000000" w:themeColor="text1"/>
                <w:sz w:val="20"/>
                <w:szCs w:val="28"/>
                <w:lang w:val="hr-HR"/>
              </w:rPr>
              <w:t>O:CH</w:t>
            </w:r>
            <w:r w:rsidRPr="00225313">
              <w:rPr>
                <w:color w:val="000000" w:themeColor="text1"/>
                <w:sz w:val="20"/>
                <w:szCs w:val="28"/>
                <w:vertAlign w:val="subscript"/>
                <w:lang w:val="hr-HR"/>
              </w:rPr>
              <w:t>3</w:t>
            </w:r>
            <w:r w:rsidRPr="00225313">
              <w:rPr>
                <w:color w:val="000000" w:themeColor="text1"/>
                <w:sz w:val="20"/>
                <w:szCs w:val="28"/>
                <w:lang w:val="hr-HR"/>
              </w:rPr>
              <w:t>OH</w:t>
            </w:r>
          </w:p>
          <w:p w14:paraId="7774A063" w14:textId="41029EA1" w:rsidR="00003166" w:rsidRPr="00225313" w:rsidRDefault="00003166" w:rsidP="00003166">
            <w:pPr>
              <w:jc w:val="center"/>
              <w:rPr>
                <w:color w:val="000000" w:themeColor="text1"/>
                <w:sz w:val="20"/>
                <w:szCs w:val="28"/>
                <w:lang w:val="hr-HR"/>
              </w:rPr>
            </w:pPr>
            <w:r w:rsidRPr="00225313">
              <w:rPr>
                <w:color w:val="000000" w:themeColor="text1"/>
                <w:sz w:val="20"/>
                <w:szCs w:val="28"/>
                <w:lang w:val="hr-HR"/>
              </w:rPr>
              <w:t>(v/v)</w:t>
            </w:r>
          </w:p>
        </w:tc>
        <w:tc>
          <w:tcPr>
            <w:tcW w:w="2091" w:type="pct"/>
            <w:gridSpan w:val="3"/>
            <w:tcBorders>
              <w:top w:val="single" w:sz="4" w:space="0" w:color="auto"/>
              <w:left w:val="nil"/>
              <w:right w:val="nil"/>
            </w:tcBorders>
            <w:shd w:val="clear" w:color="auto" w:fill="auto"/>
            <w:noWrap/>
            <w:vAlign w:val="center"/>
            <w:hideMark/>
          </w:tcPr>
          <w:p w14:paraId="7ECA485B" w14:textId="45A00931" w:rsidR="00003166" w:rsidRPr="00225313" w:rsidRDefault="00003166" w:rsidP="00606224">
            <w:pPr>
              <w:jc w:val="center"/>
              <w:rPr>
                <w:b/>
                <w:color w:val="000000" w:themeColor="text1"/>
                <w:sz w:val="20"/>
                <w:szCs w:val="28"/>
                <w:lang w:val="hr-HR"/>
              </w:rPr>
            </w:pPr>
            <w:r w:rsidRPr="00225313">
              <w:rPr>
                <w:b/>
                <w:color w:val="000000" w:themeColor="text1"/>
                <w:sz w:val="20"/>
                <w:szCs w:val="28"/>
                <w:lang w:val="hr-HR"/>
              </w:rPr>
              <w:t>2a</w:t>
            </w:r>
          </w:p>
        </w:tc>
        <w:tc>
          <w:tcPr>
            <w:tcW w:w="2064" w:type="pct"/>
            <w:gridSpan w:val="3"/>
            <w:tcBorders>
              <w:top w:val="single" w:sz="4" w:space="0" w:color="auto"/>
              <w:left w:val="nil"/>
              <w:right w:val="nil"/>
            </w:tcBorders>
            <w:vAlign w:val="center"/>
          </w:tcPr>
          <w:p w14:paraId="78B6B851" w14:textId="78F64448" w:rsidR="00003166" w:rsidRPr="00225313" w:rsidRDefault="00003166" w:rsidP="00606224">
            <w:pPr>
              <w:jc w:val="center"/>
              <w:rPr>
                <w:b/>
                <w:color w:val="000000" w:themeColor="text1"/>
                <w:sz w:val="20"/>
                <w:szCs w:val="28"/>
                <w:lang w:val="hr-HR"/>
              </w:rPr>
            </w:pPr>
            <w:r w:rsidRPr="00225313">
              <w:rPr>
                <w:b/>
                <w:color w:val="000000" w:themeColor="text1"/>
                <w:sz w:val="20"/>
                <w:szCs w:val="28"/>
                <w:lang w:val="hr-HR"/>
              </w:rPr>
              <w:t>2b</w:t>
            </w:r>
          </w:p>
        </w:tc>
      </w:tr>
      <w:tr w:rsidR="00003166" w:rsidRPr="00225313" w14:paraId="09EFCF29" w14:textId="77777777" w:rsidTr="00003166">
        <w:trPr>
          <w:trHeight w:val="454"/>
          <w:jc w:val="center"/>
        </w:trPr>
        <w:tc>
          <w:tcPr>
            <w:tcW w:w="839" w:type="pct"/>
            <w:vMerge/>
            <w:tcBorders>
              <w:top w:val="single" w:sz="4" w:space="0" w:color="auto"/>
              <w:left w:val="nil"/>
              <w:bottom w:val="single" w:sz="4" w:space="0" w:color="auto"/>
              <w:right w:val="nil"/>
            </w:tcBorders>
            <w:vAlign w:val="center"/>
            <w:hideMark/>
          </w:tcPr>
          <w:p w14:paraId="239C031A" w14:textId="77777777" w:rsidR="00003166" w:rsidRPr="00225313" w:rsidRDefault="00003166" w:rsidP="00003166">
            <w:pPr>
              <w:jc w:val="center"/>
              <w:rPr>
                <w:color w:val="000000" w:themeColor="text1"/>
                <w:sz w:val="20"/>
                <w:szCs w:val="28"/>
                <w:lang w:val="hr-HR"/>
              </w:rPr>
            </w:pPr>
          </w:p>
        </w:tc>
        <w:tc>
          <w:tcPr>
            <w:tcW w:w="693" w:type="pct"/>
            <w:tcBorders>
              <w:left w:val="nil"/>
              <w:bottom w:val="single" w:sz="4" w:space="0" w:color="auto"/>
              <w:right w:val="nil"/>
            </w:tcBorders>
            <w:shd w:val="clear" w:color="auto" w:fill="auto"/>
            <w:noWrap/>
            <w:vAlign w:val="center"/>
            <w:hideMark/>
          </w:tcPr>
          <w:p w14:paraId="332FC6ED" w14:textId="2863AAC4"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35:65</w:t>
            </w:r>
          </w:p>
        </w:tc>
        <w:tc>
          <w:tcPr>
            <w:tcW w:w="694" w:type="pct"/>
            <w:tcBorders>
              <w:left w:val="nil"/>
              <w:bottom w:val="single" w:sz="4" w:space="0" w:color="auto"/>
              <w:right w:val="nil"/>
            </w:tcBorders>
            <w:shd w:val="clear" w:color="auto" w:fill="auto"/>
            <w:noWrap/>
            <w:vAlign w:val="center"/>
            <w:hideMark/>
          </w:tcPr>
          <w:p w14:paraId="4AEF3AB4" w14:textId="355BACC9"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50:50</w:t>
            </w:r>
          </w:p>
        </w:tc>
        <w:tc>
          <w:tcPr>
            <w:tcW w:w="704" w:type="pct"/>
            <w:tcBorders>
              <w:left w:val="nil"/>
              <w:bottom w:val="single" w:sz="4" w:space="0" w:color="auto"/>
              <w:right w:val="nil"/>
            </w:tcBorders>
            <w:vAlign w:val="center"/>
          </w:tcPr>
          <w:p w14:paraId="56ABE59A" w14:textId="5973AF85"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65:35</w:t>
            </w:r>
          </w:p>
        </w:tc>
        <w:tc>
          <w:tcPr>
            <w:tcW w:w="683" w:type="pct"/>
            <w:tcBorders>
              <w:left w:val="nil"/>
              <w:bottom w:val="single" w:sz="4" w:space="0" w:color="auto"/>
              <w:right w:val="nil"/>
            </w:tcBorders>
            <w:vAlign w:val="center"/>
          </w:tcPr>
          <w:p w14:paraId="540F0C25" w14:textId="25442780"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35:65</w:t>
            </w:r>
          </w:p>
        </w:tc>
        <w:tc>
          <w:tcPr>
            <w:tcW w:w="692" w:type="pct"/>
            <w:tcBorders>
              <w:left w:val="nil"/>
              <w:bottom w:val="single" w:sz="4" w:space="0" w:color="auto"/>
              <w:right w:val="nil"/>
            </w:tcBorders>
            <w:vAlign w:val="center"/>
          </w:tcPr>
          <w:p w14:paraId="70F542DC" w14:textId="42AC0CFA"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50:50</w:t>
            </w:r>
          </w:p>
        </w:tc>
        <w:tc>
          <w:tcPr>
            <w:tcW w:w="695" w:type="pct"/>
            <w:gridSpan w:val="2"/>
            <w:tcBorders>
              <w:left w:val="nil"/>
              <w:bottom w:val="single" w:sz="4" w:space="0" w:color="auto"/>
              <w:right w:val="nil"/>
            </w:tcBorders>
            <w:vAlign w:val="center"/>
          </w:tcPr>
          <w:p w14:paraId="79E965B5" w14:textId="5D7AA47E" w:rsidR="00003166" w:rsidRPr="00225313" w:rsidRDefault="00003166" w:rsidP="00003166">
            <w:pPr>
              <w:jc w:val="center"/>
              <w:rPr>
                <w:iCs/>
                <w:color w:val="000000" w:themeColor="text1"/>
                <w:sz w:val="20"/>
                <w:szCs w:val="28"/>
                <w:lang w:val="hr-HR"/>
              </w:rPr>
            </w:pPr>
            <w:r w:rsidRPr="00225313">
              <w:rPr>
                <w:iCs/>
                <w:color w:val="000000" w:themeColor="text1"/>
                <w:sz w:val="20"/>
                <w:szCs w:val="28"/>
                <w:lang w:val="hr-HR"/>
              </w:rPr>
              <w:t>65:35</w:t>
            </w:r>
          </w:p>
        </w:tc>
      </w:tr>
      <w:tr w:rsidR="00003166" w:rsidRPr="00225313" w14:paraId="67518EB1" w14:textId="77777777" w:rsidTr="00003166">
        <w:trPr>
          <w:trHeight w:val="576"/>
          <w:jc w:val="center"/>
        </w:trPr>
        <w:tc>
          <w:tcPr>
            <w:tcW w:w="839" w:type="pct"/>
            <w:tcBorders>
              <w:top w:val="single" w:sz="4" w:space="0" w:color="auto"/>
              <w:left w:val="nil"/>
              <w:right w:val="nil"/>
            </w:tcBorders>
            <w:shd w:val="clear" w:color="auto" w:fill="auto"/>
            <w:noWrap/>
            <w:vAlign w:val="center"/>
            <w:hideMark/>
          </w:tcPr>
          <w:p w14:paraId="4FEB1BDB" w14:textId="687AD85E" w:rsidR="00003166" w:rsidRPr="00225313" w:rsidRDefault="00003166" w:rsidP="00003166">
            <w:pPr>
              <w:jc w:val="center"/>
              <w:rPr>
                <w:color w:val="000000" w:themeColor="text1"/>
                <w:sz w:val="20"/>
                <w:szCs w:val="28"/>
                <w:lang w:val="hr-HR"/>
              </w:rPr>
            </w:pPr>
            <w:r w:rsidRPr="00225313">
              <w:rPr>
                <w:color w:val="000000" w:themeColor="text1"/>
                <w:position w:val="-12"/>
                <w:sz w:val="20"/>
                <w:szCs w:val="28"/>
                <w:lang w:val="hr-HR"/>
              </w:rPr>
              <w:object w:dxaOrig="740" w:dyaOrig="360" w14:anchorId="41A15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3.5pt" o:ole="">
                  <v:imagedata r:id="rId14" o:title=""/>
                </v:shape>
                <o:OLEObject Type="Embed" ProgID="Equation.DSMT4" ShapeID="_x0000_i1025" DrawAspect="Content" ObjectID="_1713949449" r:id="rId15"/>
              </w:object>
            </w:r>
          </w:p>
        </w:tc>
        <w:tc>
          <w:tcPr>
            <w:tcW w:w="693" w:type="pct"/>
            <w:tcBorders>
              <w:top w:val="single" w:sz="4" w:space="0" w:color="auto"/>
              <w:left w:val="nil"/>
              <w:right w:val="nil"/>
            </w:tcBorders>
            <w:shd w:val="clear" w:color="auto" w:fill="auto"/>
            <w:noWrap/>
            <w:vAlign w:val="center"/>
          </w:tcPr>
          <w:p w14:paraId="099870BC" w14:textId="0A61EEDF" w:rsidR="00003166" w:rsidRPr="00225313" w:rsidRDefault="00003166" w:rsidP="00003166">
            <w:pPr>
              <w:jc w:val="center"/>
              <w:rPr>
                <w:color w:val="000000" w:themeColor="text1"/>
                <w:sz w:val="20"/>
                <w:szCs w:val="28"/>
                <w:lang w:val="hr-HR"/>
              </w:rPr>
            </w:pPr>
            <w:r w:rsidRPr="00225313">
              <w:rPr>
                <w:color w:val="000000" w:themeColor="text1"/>
                <w:sz w:val="20"/>
                <w:szCs w:val="28"/>
                <w:lang w:val="hr-HR"/>
              </w:rPr>
              <w:t>6,34</w:t>
            </w:r>
          </w:p>
        </w:tc>
        <w:tc>
          <w:tcPr>
            <w:tcW w:w="694" w:type="pct"/>
            <w:tcBorders>
              <w:top w:val="single" w:sz="4" w:space="0" w:color="auto"/>
              <w:left w:val="nil"/>
              <w:right w:val="nil"/>
            </w:tcBorders>
            <w:shd w:val="clear" w:color="auto" w:fill="auto"/>
            <w:noWrap/>
            <w:vAlign w:val="center"/>
          </w:tcPr>
          <w:p w14:paraId="38299D69" w14:textId="18251490" w:rsidR="00003166" w:rsidRPr="00225313" w:rsidRDefault="00003166" w:rsidP="00003166">
            <w:pPr>
              <w:jc w:val="center"/>
              <w:rPr>
                <w:color w:val="000000" w:themeColor="text1"/>
                <w:sz w:val="20"/>
                <w:szCs w:val="28"/>
                <w:lang w:val="hr-HR"/>
              </w:rPr>
            </w:pPr>
            <w:r w:rsidRPr="00225313">
              <w:rPr>
                <w:color w:val="000000" w:themeColor="text1"/>
                <w:sz w:val="20"/>
                <w:szCs w:val="28"/>
                <w:lang w:val="hr-HR"/>
              </w:rPr>
              <w:t>5,70</w:t>
            </w:r>
          </w:p>
        </w:tc>
        <w:tc>
          <w:tcPr>
            <w:tcW w:w="704" w:type="pct"/>
            <w:tcBorders>
              <w:top w:val="single" w:sz="4" w:space="0" w:color="auto"/>
              <w:left w:val="nil"/>
              <w:right w:val="nil"/>
            </w:tcBorders>
            <w:vAlign w:val="center"/>
          </w:tcPr>
          <w:p w14:paraId="2F889911" w14:textId="0C063400"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5,19</w:t>
            </w:r>
          </w:p>
        </w:tc>
        <w:tc>
          <w:tcPr>
            <w:tcW w:w="683" w:type="pct"/>
            <w:tcBorders>
              <w:top w:val="single" w:sz="4" w:space="0" w:color="auto"/>
              <w:left w:val="nil"/>
              <w:right w:val="nil"/>
            </w:tcBorders>
            <w:vAlign w:val="center"/>
          </w:tcPr>
          <w:p w14:paraId="07C2BF60" w14:textId="1A79B566"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5,67</w:t>
            </w:r>
          </w:p>
        </w:tc>
        <w:tc>
          <w:tcPr>
            <w:tcW w:w="692" w:type="pct"/>
            <w:tcBorders>
              <w:top w:val="single" w:sz="4" w:space="0" w:color="auto"/>
              <w:left w:val="nil"/>
              <w:right w:val="nil"/>
            </w:tcBorders>
            <w:vAlign w:val="center"/>
          </w:tcPr>
          <w:p w14:paraId="55347681" w14:textId="04FFFB65"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4,96</w:t>
            </w:r>
          </w:p>
        </w:tc>
        <w:tc>
          <w:tcPr>
            <w:tcW w:w="695" w:type="pct"/>
            <w:gridSpan w:val="2"/>
            <w:tcBorders>
              <w:top w:val="single" w:sz="4" w:space="0" w:color="auto"/>
              <w:left w:val="nil"/>
              <w:right w:val="nil"/>
            </w:tcBorders>
            <w:vAlign w:val="center"/>
          </w:tcPr>
          <w:p w14:paraId="58B30848" w14:textId="4DC30D88"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4,26</w:t>
            </w:r>
          </w:p>
        </w:tc>
      </w:tr>
      <w:tr w:rsidR="00003166" w:rsidRPr="00225313" w14:paraId="4F734331" w14:textId="77777777" w:rsidTr="00003166">
        <w:trPr>
          <w:trHeight w:val="576"/>
          <w:jc w:val="center"/>
        </w:trPr>
        <w:tc>
          <w:tcPr>
            <w:tcW w:w="839" w:type="pct"/>
            <w:tcBorders>
              <w:left w:val="nil"/>
              <w:right w:val="nil"/>
            </w:tcBorders>
            <w:shd w:val="clear" w:color="auto" w:fill="auto"/>
            <w:vAlign w:val="center"/>
          </w:tcPr>
          <w:p w14:paraId="3EDC02A7" w14:textId="161A387A" w:rsidR="00003166" w:rsidRPr="00225313" w:rsidRDefault="00003166" w:rsidP="00003166">
            <w:pPr>
              <w:jc w:val="center"/>
              <w:rPr>
                <w:color w:val="000000" w:themeColor="text1"/>
                <w:sz w:val="20"/>
                <w:szCs w:val="28"/>
                <w:lang w:val="hr-HR"/>
              </w:rPr>
            </w:pPr>
            <w:r w:rsidRPr="00225313">
              <w:rPr>
                <w:color w:val="000000" w:themeColor="text1"/>
                <w:position w:val="-24"/>
                <w:sz w:val="20"/>
                <w:szCs w:val="28"/>
                <w:lang w:val="hr-HR"/>
              </w:rPr>
              <w:object w:dxaOrig="800" w:dyaOrig="620" w14:anchorId="44D39C26">
                <v:shape id="_x0000_i1026" type="#_x0000_t75" style="width:28.5pt;height:27.75pt" o:ole="">
                  <v:imagedata r:id="rId16" o:title=""/>
                </v:shape>
                <o:OLEObject Type="Embed" ProgID="Equation.DSMT4" ShapeID="_x0000_i1026" DrawAspect="Content" ObjectID="_1713949450" r:id="rId17"/>
              </w:object>
            </w:r>
          </w:p>
        </w:tc>
        <w:tc>
          <w:tcPr>
            <w:tcW w:w="693" w:type="pct"/>
            <w:tcBorders>
              <w:left w:val="nil"/>
              <w:right w:val="nil"/>
            </w:tcBorders>
            <w:shd w:val="clear" w:color="auto" w:fill="auto"/>
            <w:noWrap/>
            <w:vAlign w:val="center"/>
          </w:tcPr>
          <w:p w14:paraId="195E9F28" w14:textId="3BFBA4F5"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–36,2</w:t>
            </w:r>
          </w:p>
        </w:tc>
        <w:tc>
          <w:tcPr>
            <w:tcW w:w="694" w:type="pct"/>
            <w:tcBorders>
              <w:left w:val="nil"/>
              <w:right w:val="nil"/>
            </w:tcBorders>
            <w:shd w:val="clear" w:color="auto" w:fill="auto"/>
            <w:noWrap/>
            <w:vAlign w:val="center"/>
          </w:tcPr>
          <w:p w14:paraId="5E0C76E1" w14:textId="4069F4DD"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–32,6</w:t>
            </w:r>
          </w:p>
        </w:tc>
        <w:tc>
          <w:tcPr>
            <w:tcW w:w="704" w:type="pct"/>
            <w:tcBorders>
              <w:left w:val="nil"/>
              <w:right w:val="nil"/>
            </w:tcBorders>
            <w:vAlign w:val="center"/>
          </w:tcPr>
          <w:p w14:paraId="1F397C2B" w14:textId="25CF6A76"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–29,6</w:t>
            </w:r>
          </w:p>
        </w:tc>
        <w:tc>
          <w:tcPr>
            <w:tcW w:w="683" w:type="pct"/>
            <w:tcBorders>
              <w:left w:val="nil"/>
              <w:right w:val="nil"/>
            </w:tcBorders>
            <w:vAlign w:val="center"/>
          </w:tcPr>
          <w:p w14:paraId="42EEE9B5" w14:textId="64497666"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–32,3</w:t>
            </w:r>
          </w:p>
        </w:tc>
        <w:tc>
          <w:tcPr>
            <w:tcW w:w="692" w:type="pct"/>
            <w:tcBorders>
              <w:left w:val="nil"/>
              <w:right w:val="nil"/>
            </w:tcBorders>
            <w:vAlign w:val="center"/>
          </w:tcPr>
          <w:p w14:paraId="6288ABA1" w14:textId="27E2A479"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–28,4</w:t>
            </w:r>
          </w:p>
        </w:tc>
        <w:tc>
          <w:tcPr>
            <w:tcW w:w="695" w:type="pct"/>
            <w:gridSpan w:val="2"/>
            <w:tcBorders>
              <w:left w:val="nil"/>
              <w:right w:val="nil"/>
            </w:tcBorders>
            <w:vAlign w:val="center"/>
          </w:tcPr>
          <w:p w14:paraId="302D2864" w14:textId="0D3FA799"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–24,3</w:t>
            </w:r>
          </w:p>
        </w:tc>
      </w:tr>
      <w:tr w:rsidR="00003166" w:rsidRPr="00225313" w14:paraId="432ECAFA" w14:textId="77777777" w:rsidTr="00003166">
        <w:trPr>
          <w:trHeight w:val="576"/>
          <w:jc w:val="center"/>
        </w:trPr>
        <w:tc>
          <w:tcPr>
            <w:tcW w:w="839" w:type="pct"/>
            <w:tcBorders>
              <w:left w:val="nil"/>
              <w:right w:val="nil"/>
            </w:tcBorders>
            <w:shd w:val="clear" w:color="auto" w:fill="auto"/>
            <w:vAlign w:val="center"/>
          </w:tcPr>
          <w:p w14:paraId="13E597DA" w14:textId="3BFB8F2D" w:rsidR="00003166" w:rsidRPr="00225313" w:rsidRDefault="00003166" w:rsidP="00003166">
            <w:pPr>
              <w:jc w:val="center"/>
              <w:rPr>
                <w:color w:val="000000" w:themeColor="text1"/>
                <w:sz w:val="20"/>
                <w:szCs w:val="28"/>
                <w:lang w:val="hr-HR"/>
              </w:rPr>
            </w:pPr>
            <w:r w:rsidRPr="00225313">
              <w:rPr>
                <w:color w:val="000000" w:themeColor="text1"/>
                <w:position w:val="-24"/>
                <w:sz w:val="20"/>
                <w:szCs w:val="28"/>
                <w:lang w:val="hr-HR"/>
              </w:rPr>
              <w:object w:dxaOrig="800" w:dyaOrig="620" w14:anchorId="7282A059">
                <v:shape id="_x0000_i1027" type="#_x0000_t75" style="width:33.75pt;height:27.75pt" o:ole="">
                  <v:imagedata r:id="rId18" o:title=""/>
                </v:shape>
                <o:OLEObject Type="Embed" ProgID="Equation.DSMT4" ShapeID="_x0000_i1027" DrawAspect="Content" ObjectID="_1713949451" r:id="rId19"/>
              </w:object>
            </w:r>
          </w:p>
        </w:tc>
        <w:tc>
          <w:tcPr>
            <w:tcW w:w="693" w:type="pct"/>
            <w:tcBorders>
              <w:left w:val="nil"/>
              <w:right w:val="nil"/>
            </w:tcBorders>
            <w:shd w:val="clear" w:color="auto" w:fill="auto"/>
            <w:noWrap/>
            <w:vAlign w:val="center"/>
          </w:tcPr>
          <w:p w14:paraId="69FF52FF" w14:textId="44951582"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13,3</w:t>
            </w:r>
          </w:p>
        </w:tc>
        <w:tc>
          <w:tcPr>
            <w:tcW w:w="694" w:type="pct"/>
            <w:tcBorders>
              <w:left w:val="nil"/>
              <w:right w:val="nil"/>
            </w:tcBorders>
            <w:shd w:val="clear" w:color="auto" w:fill="auto"/>
            <w:noWrap/>
            <w:vAlign w:val="center"/>
          </w:tcPr>
          <w:p w14:paraId="031FE173" w14:textId="27FE3DEE"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10,1</w:t>
            </w:r>
          </w:p>
        </w:tc>
        <w:tc>
          <w:tcPr>
            <w:tcW w:w="704" w:type="pct"/>
            <w:tcBorders>
              <w:left w:val="nil"/>
              <w:right w:val="nil"/>
            </w:tcBorders>
            <w:vAlign w:val="center"/>
          </w:tcPr>
          <w:p w14:paraId="79189FF6" w14:textId="0B6A3F95"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6,9</w:t>
            </w:r>
          </w:p>
        </w:tc>
        <w:tc>
          <w:tcPr>
            <w:tcW w:w="683" w:type="pct"/>
            <w:tcBorders>
              <w:left w:val="nil"/>
              <w:right w:val="nil"/>
            </w:tcBorders>
            <w:vAlign w:val="center"/>
          </w:tcPr>
          <w:p w14:paraId="45C309EB" w14:textId="6B221D22"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–12,4</w:t>
            </w:r>
          </w:p>
        </w:tc>
        <w:tc>
          <w:tcPr>
            <w:tcW w:w="692" w:type="pct"/>
            <w:tcBorders>
              <w:left w:val="nil"/>
              <w:right w:val="nil"/>
            </w:tcBorders>
            <w:vAlign w:val="center"/>
          </w:tcPr>
          <w:p w14:paraId="666057C8" w14:textId="2510EB07"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–13,5</w:t>
            </w:r>
          </w:p>
        </w:tc>
        <w:tc>
          <w:tcPr>
            <w:tcW w:w="695" w:type="pct"/>
            <w:gridSpan w:val="2"/>
            <w:tcBorders>
              <w:left w:val="nil"/>
              <w:right w:val="nil"/>
            </w:tcBorders>
            <w:vAlign w:val="center"/>
          </w:tcPr>
          <w:p w14:paraId="19148493" w14:textId="3EE6B03A"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–11,8</w:t>
            </w:r>
          </w:p>
        </w:tc>
      </w:tr>
      <w:tr w:rsidR="00003166" w:rsidRPr="00225313" w14:paraId="488919B9" w14:textId="77777777" w:rsidTr="00003166">
        <w:trPr>
          <w:trHeight w:val="576"/>
          <w:jc w:val="center"/>
        </w:trPr>
        <w:tc>
          <w:tcPr>
            <w:tcW w:w="839" w:type="pct"/>
            <w:tcBorders>
              <w:left w:val="nil"/>
              <w:right w:val="nil"/>
            </w:tcBorders>
            <w:shd w:val="clear" w:color="auto" w:fill="auto"/>
            <w:vAlign w:val="center"/>
          </w:tcPr>
          <w:p w14:paraId="752DAEE9" w14:textId="614CEFDE" w:rsidR="00003166" w:rsidRPr="00225313" w:rsidRDefault="00003166" w:rsidP="00003166">
            <w:pPr>
              <w:jc w:val="center"/>
              <w:rPr>
                <w:color w:val="000000" w:themeColor="text1"/>
                <w:sz w:val="20"/>
                <w:szCs w:val="28"/>
                <w:lang w:val="hr-HR"/>
              </w:rPr>
            </w:pPr>
            <w:r w:rsidRPr="00225313">
              <w:rPr>
                <w:color w:val="000000" w:themeColor="text1"/>
                <w:position w:val="-24"/>
                <w:sz w:val="20"/>
                <w:szCs w:val="28"/>
                <w:lang w:val="hr-HR"/>
              </w:rPr>
              <w:object w:dxaOrig="800" w:dyaOrig="620" w14:anchorId="3A5791B6">
                <v:shape id="_x0000_i1028" type="#_x0000_t75" style="width:33.75pt;height:27.75pt" o:ole="">
                  <v:imagedata r:id="rId20" o:title=""/>
                </v:shape>
                <o:OLEObject Type="Embed" ProgID="Equation.DSMT4" ShapeID="_x0000_i1028" DrawAspect="Content" ObjectID="_1713949452" r:id="rId21"/>
              </w:object>
            </w:r>
          </w:p>
        </w:tc>
        <w:tc>
          <w:tcPr>
            <w:tcW w:w="693" w:type="pct"/>
            <w:tcBorders>
              <w:left w:val="nil"/>
              <w:right w:val="nil"/>
            </w:tcBorders>
            <w:shd w:val="clear" w:color="auto" w:fill="auto"/>
            <w:noWrap/>
            <w:vAlign w:val="center"/>
          </w:tcPr>
          <w:p w14:paraId="749C1588" w14:textId="78962C75"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49,5</w:t>
            </w:r>
          </w:p>
        </w:tc>
        <w:tc>
          <w:tcPr>
            <w:tcW w:w="694" w:type="pct"/>
            <w:tcBorders>
              <w:left w:val="nil"/>
              <w:right w:val="nil"/>
            </w:tcBorders>
            <w:shd w:val="clear" w:color="auto" w:fill="auto"/>
            <w:noWrap/>
            <w:vAlign w:val="center"/>
          </w:tcPr>
          <w:p w14:paraId="22F2EA09" w14:textId="2A9D11A6"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42,7</w:t>
            </w:r>
          </w:p>
        </w:tc>
        <w:tc>
          <w:tcPr>
            <w:tcW w:w="704" w:type="pct"/>
            <w:tcBorders>
              <w:left w:val="nil"/>
              <w:right w:val="nil"/>
            </w:tcBorders>
            <w:vAlign w:val="center"/>
          </w:tcPr>
          <w:p w14:paraId="5C0916D6" w14:textId="13586CC5" w:rsidR="00003166" w:rsidRPr="00225313" w:rsidRDefault="0079248F" w:rsidP="00003166">
            <w:pPr>
              <w:jc w:val="center"/>
              <w:rPr>
                <w:color w:val="000000" w:themeColor="text1"/>
                <w:sz w:val="20"/>
                <w:szCs w:val="28"/>
                <w:lang w:val="hr-HR"/>
              </w:rPr>
            </w:pPr>
            <w:r w:rsidRPr="00225313">
              <w:rPr>
                <w:iCs/>
                <w:color w:val="000000" w:themeColor="text1"/>
                <w:sz w:val="20"/>
                <w:szCs w:val="28"/>
                <w:lang w:val="hr-HR"/>
              </w:rPr>
              <w:t>36,5</w:t>
            </w:r>
          </w:p>
        </w:tc>
        <w:tc>
          <w:tcPr>
            <w:tcW w:w="683" w:type="pct"/>
            <w:tcBorders>
              <w:left w:val="nil"/>
              <w:right w:val="nil"/>
            </w:tcBorders>
            <w:vAlign w:val="center"/>
          </w:tcPr>
          <w:p w14:paraId="0A09D009" w14:textId="70723D37"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19,9</w:t>
            </w:r>
          </w:p>
        </w:tc>
        <w:tc>
          <w:tcPr>
            <w:tcW w:w="692" w:type="pct"/>
            <w:tcBorders>
              <w:left w:val="nil"/>
              <w:right w:val="nil"/>
            </w:tcBorders>
            <w:vAlign w:val="center"/>
          </w:tcPr>
          <w:p w14:paraId="357E933B" w14:textId="092A3686"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14,9</w:t>
            </w:r>
          </w:p>
        </w:tc>
        <w:tc>
          <w:tcPr>
            <w:tcW w:w="695" w:type="pct"/>
            <w:gridSpan w:val="2"/>
            <w:tcBorders>
              <w:left w:val="nil"/>
              <w:right w:val="nil"/>
            </w:tcBorders>
            <w:vAlign w:val="center"/>
          </w:tcPr>
          <w:p w14:paraId="53E30D7B" w14:textId="5FFAC61D" w:rsidR="00003166" w:rsidRPr="00225313" w:rsidRDefault="0079248F" w:rsidP="00003166">
            <w:pPr>
              <w:jc w:val="center"/>
              <w:rPr>
                <w:color w:val="000000" w:themeColor="text1"/>
                <w:sz w:val="20"/>
                <w:szCs w:val="28"/>
                <w:lang w:val="hr-HR"/>
              </w:rPr>
            </w:pPr>
            <w:r w:rsidRPr="00225313">
              <w:rPr>
                <w:color w:val="000000" w:themeColor="text1"/>
                <w:sz w:val="20"/>
                <w:szCs w:val="28"/>
                <w:lang w:val="hr-HR"/>
              </w:rPr>
              <w:t>12,5</w:t>
            </w:r>
          </w:p>
        </w:tc>
      </w:tr>
    </w:tbl>
    <w:p w14:paraId="24142A04" w14:textId="349CABC7" w:rsidR="00D2406A" w:rsidRPr="00225313" w:rsidRDefault="00D2406A" w:rsidP="00B027C5">
      <w:pPr>
        <w:pStyle w:val="OCJENSKIRADOVIOdlomak3NASTAVAKODLOMKA"/>
      </w:pPr>
    </w:p>
    <w:p w14:paraId="7976C057" w14:textId="6DD37EEA" w:rsidR="00D2406A" w:rsidRPr="00225313" w:rsidRDefault="00F75A77" w:rsidP="00B027C5">
      <w:pPr>
        <w:pStyle w:val="OCJENSKIRADOVIOdlomak3NASTAVAKODLOMKA"/>
      </w:pPr>
      <w:r w:rsidRPr="00225313">
        <w:t xml:space="preserve">Iz rezultata je vidljivo da je entropijski doprinos u slučaju rigidnog </w:t>
      </w:r>
      <w:r w:rsidRPr="00225313">
        <w:rPr>
          <w:b/>
        </w:rPr>
        <w:t xml:space="preserve">2a </w:t>
      </w:r>
      <w:r w:rsidRPr="00225313">
        <w:t xml:space="preserve">receptora 2–3 puta povoljniji nego u slučaju receptora </w:t>
      </w:r>
      <w:r w:rsidRPr="00225313">
        <w:rPr>
          <w:b/>
        </w:rPr>
        <w:t>2b</w:t>
      </w:r>
      <w:r w:rsidRPr="00225313">
        <w:t>. Što je, ukoliko se uzme u obzir da su eksperimenti provedeni u istom otapalu sa strukturno vrlo sl</w:t>
      </w:r>
      <w:r w:rsidR="002846E5">
        <w:t>i</w:t>
      </w:r>
      <w:r w:rsidRPr="00225313">
        <w:t xml:space="preserve">čnim </w:t>
      </w:r>
      <w:r w:rsidR="00A00304">
        <w:t>receptorima</w:t>
      </w:r>
      <w:r w:rsidRPr="00225313">
        <w:t xml:space="preserve">, u skladu sa razlozima navedenima gore u tekstu, tj. gubitak stupnjeva slobode reorganizacijom fleksibilnog </w:t>
      </w:r>
      <w:r w:rsidR="00A00304">
        <w:t>receptora</w:t>
      </w:r>
      <w:r w:rsidR="00A00304" w:rsidRPr="00225313">
        <w:t xml:space="preserve"> </w:t>
      </w:r>
      <w:r w:rsidRPr="00225313">
        <w:t>nepovoljno utječe na reakcijsku entropiju. Entropijski doprinos je pak povoljniji u slučaju</w:t>
      </w:r>
      <w:r w:rsidRPr="00225313">
        <w:rPr>
          <w:b/>
        </w:rPr>
        <w:t xml:space="preserve"> 2b </w:t>
      </w:r>
      <w:r w:rsidR="00A00304">
        <w:t>spoja</w:t>
      </w:r>
      <w:r w:rsidRPr="00225313">
        <w:t xml:space="preserve"> što potvrđuje teoriju da se fleksibilni </w:t>
      </w:r>
      <w:r w:rsidR="00A00304">
        <w:t>oblik</w:t>
      </w:r>
      <w:r w:rsidRPr="00225313">
        <w:t xml:space="preserve"> može </w:t>
      </w:r>
      <w:r w:rsidR="00A00304">
        <w:t xml:space="preserve">bolje </w:t>
      </w:r>
      <w:r w:rsidRPr="00225313">
        <w:t>organizirati na način da nastan</w:t>
      </w:r>
      <w:r w:rsidR="00947479" w:rsidRPr="00225313">
        <w:t>u</w:t>
      </w:r>
      <w:r w:rsidRPr="00225313">
        <w:t xml:space="preserve"> jače interakcije receptor–gost. </w:t>
      </w:r>
    </w:p>
    <w:p w14:paraId="18D49477" w14:textId="2E5065CF" w:rsidR="00D2406A" w:rsidRPr="00225313" w:rsidRDefault="00D2406A" w:rsidP="00B027C5">
      <w:pPr>
        <w:pStyle w:val="OCJENSKIRADOVIOdlomak3NASTAVAKODLOMKA"/>
      </w:pPr>
    </w:p>
    <w:p w14:paraId="5D5E821A" w14:textId="0DB1F95D" w:rsidR="00D2406A" w:rsidRPr="00225313" w:rsidRDefault="00D2406A" w:rsidP="00B027C5">
      <w:pPr>
        <w:pStyle w:val="OCJENSKIRADOVIOdlomak3NASTAVAKODLOMKA"/>
      </w:pPr>
    </w:p>
    <w:p w14:paraId="7FB8170F" w14:textId="54599614" w:rsidR="00D2406A" w:rsidRPr="00225313" w:rsidRDefault="00D2406A" w:rsidP="00B027C5">
      <w:pPr>
        <w:pStyle w:val="OCJENSKIRADOVIOdlomak3NASTAVAKODLOMKA"/>
      </w:pPr>
    </w:p>
    <w:p w14:paraId="0BDF7262" w14:textId="1633C969" w:rsidR="00D2406A" w:rsidRPr="00225313" w:rsidRDefault="00D2406A" w:rsidP="00B027C5">
      <w:pPr>
        <w:pStyle w:val="OCJENSKIRADOVIOdlomak3NASTAVAKODLOMKA"/>
      </w:pPr>
    </w:p>
    <w:p w14:paraId="059A5750" w14:textId="0D144313" w:rsidR="00D2406A" w:rsidRPr="00225313" w:rsidRDefault="00D2406A" w:rsidP="00B027C5">
      <w:pPr>
        <w:pStyle w:val="OCJENSKIRADOVIOdlomak3NASTAVAKODLOMKA"/>
      </w:pPr>
      <w:r w:rsidRPr="00225313">
        <w:br w:type="page"/>
      </w:r>
    </w:p>
    <w:p w14:paraId="5FD88EF2" w14:textId="185A1948" w:rsidR="00D2406A" w:rsidRPr="00225313" w:rsidRDefault="00D2406A" w:rsidP="00D2406A">
      <w:pPr>
        <w:pStyle w:val="OCJENSKIRADOVI2Podnaslovpoglavlja"/>
      </w:pPr>
      <w:bookmarkStart w:id="9" w:name="_Toc103335695"/>
      <w:r w:rsidRPr="00225313">
        <w:lastRenderedPageBreak/>
        <w:t>Solvatacija/desolvatacija</w:t>
      </w:r>
      <w:bookmarkEnd w:id="9"/>
    </w:p>
    <w:p w14:paraId="7BEC76AA" w14:textId="77777777" w:rsidR="00673EF1" w:rsidRPr="00225313" w:rsidRDefault="00673EF1" w:rsidP="00F6338E">
      <w:pPr>
        <w:jc w:val="both"/>
        <w:rPr>
          <w:lang w:val="hr-HR"/>
        </w:rPr>
      </w:pPr>
    </w:p>
    <w:p w14:paraId="3289B801" w14:textId="7E57AA87" w:rsidR="00FD00C8" w:rsidRDefault="002C7DD1" w:rsidP="00F6338E">
      <w:pPr>
        <w:spacing w:line="360" w:lineRule="auto"/>
        <w:jc w:val="both"/>
        <w:rPr>
          <w:highlight w:val="yellow"/>
          <w:lang w:val="hr-HR"/>
        </w:rPr>
      </w:pPr>
      <w:r w:rsidRPr="00225313">
        <w:rPr>
          <w:lang w:val="hr-HR"/>
        </w:rPr>
        <w:t>Iako je često zanemareno</w:t>
      </w:r>
      <w:r w:rsidR="00F6338E" w:rsidRPr="00225313">
        <w:rPr>
          <w:lang w:val="hr-HR"/>
        </w:rPr>
        <w:t>,</w:t>
      </w:r>
      <w:r w:rsidRPr="00225313">
        <w:rPr>
          <w:lang w:val="hr-HR"/>
        </w:rPr>
        <w:t xml:space="preserve"> </w:t>
      </w:r>
      <w:r w:rsidR="00F6338E" w:rsidRPr="00225313">
        <w:rPr>
          <w:lang w:val="hr-HR"/>
        </w:rPr>
        <w:t xml:space="preserve">otapalo ima značajan utjecaj na reakcijsku entalpiju i entropiju pa tako i na samu konstantu </w:t>
      </w:r>
      <w:r w:rsidR="00AF247B" w:rsidRPr="00225313">
        <w:rPr>
          <w:lang w:val="hr-HR"/>
        </w:rPr>
        <w:t>sta</w:t>
      </w:r>
      <w:r w:rsidR="00AF247B">
        <w:rPr>
          <w:lang w:val="hr-HR"/>
        </w:rPr>
        <w:t>b</w:t>
      </w:r>
      <w:r w:rsidR="00AF247B" w:rsidRPr="00225313">
        <w:rPr>
          <w:lang w:val="hr-HR"/>
        </w:rPr>
        <w:t xml:space="preserve">ilnosti </w:t>
      </w:r>
      <w:r w:rsidR="00F6338E" w:rsidRPr="00225313">
        <w:rPr>
          <w:lang w:val="hr-HR"/>
        </w:rPr>
        <w:t>reakcija kompleksiranja. Taj „nevidljivi“ sudionik reakcije, koj</w:t>
      </w:r>
      <w:r w:rsidR="00AF247B">
        <w:rPr>
          <w:lang w:val="hr-HR"/>
        </w:rPr>
        <w:t>i se</w:t>
      </w:r>
      <w:r w:rsidR="00F6338E" w:rsidRPr="00225313">
        <w:rPr>
          <w:lang w:val="hr-HR"/>
        </w:rPr>
        <w:t xml:space="preserve"> najčešće bira u skladu s topljivošću reaktanata, zna praviti razliku konstanti stabilnosti od nekoliko redova veličine.</w:t>
      </w:r>
      <w:r w:rsidR="00107151">
        <w:rPr>
          <w:vertAlign w:val="superscript"/>
          <w:lang w:val="hr-HR"/>
        </w:rPr>
        <w:t>5</w:t>
      </w:r>
      <w:r w:rsidR="0078336C" w:rsidRPr="00225313">
        <w:rPr>
          <w:lang w:val="hr-HR"/>
        </w:rPr>
        <w:t xml:space="preserve"> Ono što treba imati na umu kod reakcija kompleksiranja u otopinama je da u njima dolazi do djelomične desolvatacije receptora, djelomične ili potpune desolvatacije gosta</w:t>
      </w:r>
      <w:r w:rsidR="00F6338E" w:rsidRPr="00225313">
        <w:rPr>
          <w:lang w:val="hr-HR"/>
        </w:rPr>
        <w:t xml:space="preserve"> </w:t>
      </w:r>
      <w:r w:rsidR="0078336C" w:rsidRPr="00225313">
        <w:rPr>
          <w:lang w:val="hr-HR"/>
        </w:rPr>
        <w:t xml:space="preserve">prilikom čega nastaje solvatirani kompleks </w:t>
      </w:r>
      <w:r w:rsidR="00A225F6">
        <w:rPr>
          <w:lang w:val="hr-HR"/>
        </w:rPr>
        <w:t>te</w:t>
      </w:r>
      <w:r w:rsidR="00A225F6" w:rsidRPr="00225313">
        <w:rPr>
          <w:lang w:val="hr-HR"/>
        </w:rPr>
        <w:t xml:space="preserve"> </w:t>
      </w:r>
      <w:r w:rsidR="0078336C" w:rsidRPr="00225313">
        <w:rPr>
          <w:lang w:val="hr-HR"/>
        </w:rPr>
        <w:t xml:space="preserve">dolazi do otpuštanja određenog broja molekula otapala u </w:t>
      </w:r>
      <w:r w:rsidR="0078336C" w:rsidRPr="00652156">
        <w:rPr>
          <w:i/>
          <w:lang w:val="hr-HR"/>
        </w:rPr>
        <w:t>bulk</w:t>
      </w:r>
      <w:r w:rsidR="0078336C" w:rsidRPr="00225313">
        <w:rPr>
          <w:lang w:val="hr-HR"/>
        </w:rPr>
        <w:t xml:space="preserve">. Shema jedne takve reakcije prikazana je na slici </w:t>
      </w:r>
      <w:r w:rsidR="00334A99" w:rsidRPr="00225313">
        <w:rPr>
          <w:lang w:val="hr-HR"/>
        </w:rPr>
        <w:t>2</w:t>
      </w:r>
      <w:r w:rsidR="0078336C" w:rsidRPr="00225313">
        <w:rPr>
          <w:lang w:val="hr-HR"/>
        </w:rPr>
        <w:t>.</w:t>
      </w:r>
    </w:p>
    <w:p w14:paraId="625AE039" w14:textId="7AB3940A" w:rsidR="0088676E" w:rsidRPr="00225313" w:rsidRDefault="0088676E" w:rsidP="00F6338E">
      <w:pPr>
        <w:spacing w:line="360" w:lineRule="auto"/>
        <w:jc w:val="both"/>
        <w:rPr>
          <w:lang w:val="hr-HR"/>
        </w:rPr>
      </w:pPr>
    </w:p>
    <w:p w14:paraId="72339216" w14:textId="77777777" w:rsidR="00C62B07" w:rsidRPr="00225313" w:rsidRDefault="0088676E" w:rsidP="00F6338E">
      <w:pPr>
        <w:spacing w:line="360" w:lineRule="auto"/>
        <w:jc w:val="both"/>
        <w:rPr>
          <w:lang w:val="hr-HR"/>
        </w:rPr>
      </w:pPr>
      <w:r w:rsidRPr="00225313">
        <w:rPr>
          <w:noProof/>
          <w:lang w:val="hr-HR" w:eastAsia="hr-HR"/>
        </w:rPr>
        <w:drawing>
          <wp:inline distT="0" distB="0" distL="0" distR="0" wp14:anchorId="573FA365" wp14:editId="3F6C412B">
            <wp:extent cx="5760085" cy="1708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1708785"/>
                    </a:xfrm>
                    <a:prstGeom prst="rect">
                      <a:avLst/>
                    </a:prstGeom>
                  </pic:spPr>
                </pic:pic>
              </a:graphicData>
            </a:graphic>
          </wp:inline>
        </w:drawing>
      </w:r>
      <w:r w:rsidRPr="00225313">
        <w:rPr>
          <w:lang w:val="hr-HR"/>
        </w:rPr>
        <w:t xml:space="preserve"> </w:t>
      </w:r>
    </w:p>
    <w:p w14:paraId="07EA5115" w14:textId="27D39988" w:rsidR="00B819F3" w:rsidRPr="00225313" w:rsidRDefault="00B819F3" w:rsidP="00B819F3">
      <w:pPr>
        <w:spacing w:line="360" w:lineRule="auto"/>
        <w:jc w:val="center"/>
        <w:rPr>
          <w:lang w:val="hr-HR"/>
        </w:rPr>
      </w:pPr>
      <w:r w:rsidRPr="00225313">
        <w:rPr>
          <w:b/>
          <w:lang w:val="hr-HR"/>
        </w:rPr>
        <w:t xml:space="preserve">Slika </w:t>
      </w:r>
      <w:r w:rsidR="00334A99" w:rsidRPr="00225313">
        <w:rPr>
          <w:b/>
          <w:lang w:val="hr-HR"/>
        </w:rPr>
        <w:t>2</w:t>
      </w:r>
      <w:r w:rsidRPr="00225313">
        <w:rPr>
          <w:b/>
          <w:lang w:val="hr-HR"/>
        </w:rPr>
        <w:t>.</w:t>
      </w:r>
      <w:r w:rsidRPr="00225313">
        <w:rPr>
          <w:lang w:val="hr-HR"/>
        </w:rPr>
        <w:t xml:space="preserve"> Shema</w:t>
      </w:r>
      <w:r w:rsidR="0098088B">
        <w:rPr>
          <w:lang w:val="hr-HR"/>
        </w:rPr>
        <w:t>tski prikaz</w:t>
      </w:r>
      <w:r w:rsidRPr="00225313">
        <w:rPr>
          <w:lang w:val="hr-HR"/>
        </w:rPr>
        <w:t xml:space="preserve"> reakcije kompleksiranja koja uključuje solvataciju i desolvataciju.</w:t>
      </w:r>
      <w:r w:rsidR="00107151">
        <w:rPr>
          <w:vertAlign w:val="superscript"/>
          <w:lang w:val="hr-HR"/>
        </w:rPr>
        <w:t>6</w:t>
      </w:r>
    </w:p>
    <w:p w14:paraId="6C651BC6" w14:textId="77777777" w:rsidR="00B819F3" w:rsidRPr="00225313" w:rsidRDefault="00B819F3" w:rsidP="00B819F3">
      <w:pPr>
        <w:spacing w:line="360" w:lineRule="auto"/>
        <w:rPr>
          <w:lang w:val="hr-HR"/>
        </w:rPr>
      </w:pPr>
    </w:p>
    <w:p w14:paraId="5BA8386E" w14:textId="0403AC1D" w:rsidR="009A694E" w:rsidRPr="00225313" w:rsidRDefault="00B819F3" w:rsidP="00A07DE1">
      <w:pPr>
        <w:spacing w:line="360" w:lineRule="auto"/>
        <w:jc w:val="both"/>
        <w:rPr>
          <w:lang w:val="hr-HR"/>
        </w:rPr>
      </w:pPr>
      <w:r w:rsidRPr="00225313">
        <w:rPr>
          <w:lang w:val="hr-HR"/>
        </w:rPr>
        <w:tab/>
      </w:r>
      <w:r w:rsidR="00B02BF1" w:rsidRPr="00225313">
        <w:rPr>
          <w:lang w:val="hr-HR"/>
        </w:rPr>
        <w:t xml:space="preserve">Za početak </w:t>
      </w:r>
      <w:r w:rsidR="009C61AA" w:rsidRPr="00225313">
        <w:rPr>
          <w:lang w:val="hr-HR"/>
        </w:rPr>
        <w:t>promotrimo</w:t>
      </w:r>
      <w:r w:rsidR="00B02BF1" w:rsidRPr="00225313">
        <w:rPr>
          <w:lang w:val="hr-HR"/>
        </w:rPr>
        <w:t xml:space="preserve"> </w:t>
      </w:r>
      <w:r w:rsidR="00A07DE1" w:rsidRPr="00225313">
        <w:rPr>
          <w:lang w:val="hr-HR"/>
        </w:rPr>
        <w:t xml:space="preserve">entalpijski i entropijski doprinos desolvatacije </w:t>
      </w:r>
      <w:r w:rsidR="00A00304">
        <w:rPr>
          <w:lang w:val="hr-HR"/>
        </w:rPr>
        <w:t>receptora</w:t>
      </w:r>
      <w:r w:rsidR="00A07DE1" w:rsidRPr="00225313">
        <w:rPr>
          <w:lang w:val="hr-HR"/>
        </w:rPr>
        <w:t xml:space="preserve">. Supramolekulski receptori najčešće nisu </w:t>
      </w:r>
      <w:r w:rsidR="009A694E" w:rsidRPr="00225313">
        <w:rPr>
          <w:lang w:val="hr-HR"/>
        </w:rPr>
        <w:t>previše</w:t>
      </w:r>
      <w:r w:rsidR="00A07DE1" w:rsidRPr="00225313">
        <w:rPr>
          <w:lang w:val="hr-HR"/>
        </w:rPr>
        <w:t xml:space="preserve"> </w:t>
      </w:r>
      <w:r w:rsidR="009A694E" w:rsidRPr="00225313">
        <w:rPr>
          <w:lang w:val="hr-HR"/>
        </w:rPr>
        <w:t>topljivi</w:t>
      </w:r>
      <w:r w:rsidR="007E47C7">
        <w:rPr>
          <w:lang w:val="hr-HR"/>
        </w:rPr>
        <w:t>,</w:t>
      </w:r>
      <w:r w:rsidR="009A694E" w:rsidRPr="00225313">
        <w:rPr>
          <w:lang w:val="hr-HR"/>
        </w:rPr>
        <w:t xml:space="preserve"> čak ni u organskim otapalima</w:t>
      </w:r>
      <w:r w:rsidR="00A07DE1" w:rsidRPr="00225313">
        <w:rPr>
          <w:lang w:val="hr-HR"/>
        </w:rPr>
        <w:t xml:space="preserve">. Iako imaju različite funkcionalne skupine koje mogu tvoriti </w:t>
      </w:r>
      <w:r w:rsidR="007E47C7" w:rsidRPr="00225313">
        <w:rPr>
          <w:lang w:val="hr-HR"/>
        </w:rPr>
        <w:t>vod</w:t>
      </w:r>
      <w:r w:rsidR="007E47C7">
        <w:rPr>
          <w:lang w:val="hr-HR"/>
        </w:rPr>
        <w:t>i</w:t>
      </w:r>
      <w:r w:rsidR="007E47C7" w:rsidRPr="00225313">
        <w:rPr>
          <w:lang w:val="hr-HR"/>
        </w:rPr>
        <w:t xml:space="preserve">kove </w:t>
      </w:r>
      <w:r w:rsidR="00A07DE1" w:rsidRPr="00225313">
        <w:rPr>
          <w:lang w:val="hr-HR"/>
        </w:rPr>
        <w:t>veze pa imaju na sebi parcijalno pozitivni</w:t>
      </w:r>
      <w:r w:rsidR="007E47C7">
        <w:rPr>
          <w:lang w:val="hr-HR"/>
        </w:rPr>
        <w:t xml:space="preserve"> ili </w:t>
      </w:r>
      <w:r w:rsidR="00A07DE1" w:rsidRPr="00225313">
        <w:rPr>
          <w:lang w:val="hr-HR"/>
        </w:rPr>
        <w:t>negativni naboj te su skupine u prosjeku maji dio molekule, dok veći dio molekule čine nepolarne arilne</w:t>
      </w:r>
      <w:r w:rsidR="00FF0460">
        <w:rPr>
          <w:lang w:val="hr-HR"/>
        </w:rPr>
        <w:t xml:space="preserve"> ili</w:t>
      </w:r>
      <w:r w:rsidR="00A07DE1" w:rsidRPr="00225313">
        <w:rPr>
          <w:lang w:val="hr-HR"/>
        </w:rPr>
        <w:t xml:space="preserve"> benzilne skupine.</w:t>
      </w:r>
      <w:r w:rsidR="00B622E5" w:rsidRPr="00225313">
        <w:rPr>
          <w:lang w:val="hr-HR"/>
        </w:rPr>
        <w:t xml:space="preserve"> </w:t>
      </w:r>
      <w:r w:rsidR="009A694E" w:rsidRPr="00225313">
        <w:rPr>
          <w:lang w:val="hr-HR"/>
        </w:rPr>
        <w:t>D</w:t>
      </w:r>
      <w:r w:rsidR="00B622E5" w:rsidRPr="00225313">
        <w:rPr>
          <w:lang w:val="hr-HR"/>
        </w:rPr>
        <w:t xml:space="preserve">esolvatacija </w:t>
      </w:r>
      <w:r w:rsidR="00A00304">
        <w:rPr>
          <w:lang w:val="hr-HR"/>
        </w:rPr>
        <w:t>receptora</w:t>
      </w:r>
      <w:r w:rsidR="00A00304" w:rsidRPr="00225313">
        <w:rPr>
          <w:lang w:val="hr-HR"/>
        </w:rPr>
        <w:t xml:space="preserve"> </w:t>
      </w:r>
      <w:r w:rsidR="00B622E5" w:rsidRPr="00225313">
        <w:rPr>
          <w:lang w:val="hr-HR"/>
        </w:rPr>
        <w:t xml:space="preserve">uzrokuje prelazak molekula otapala u </w:t>
      </w:r>
      <w:r w:rsidR="00B622E5" w:rsidRPr="00E51CAD">
        <w:rPr>
          <w:i/>
          <w:lang w:val="hr-HR"/>
        </w:rPr>
        <w:t>bulk</w:t>
      </w:r>
      <w:r w:rsidR="00B622E5" w:rsidRPr="00225313">
        <w:rPr>
          <w:lang w:val="hr-HR"/>
        </w:rPr>
        <w:t xml:space="preserve"> </w:t>
      </w:r>
      <w:r w:rsidR="009A694E" w:rsidRPr="00225313">
        <w:rPr>
          <w:lang w:val="hr-HR"/>
        </w:rPr>
        <w:t>koje se tada</w:t>
      </w:r>
      <w:r w:rsidR="00B622E5" w:rsidRPr="00225313">
        <w:rPr>
          <w:lang w:val="hr-HR"/>
        </w:rPr>
        <w:t xml:space="preserve"> povežu se s ostalim molekulama otapala. </w:t>
      </w:r>
      <w:r w:rsidR="00197388">
        <w:rPr>
          <w:lang w:val="hr-HR"/>
        </w:rPr>
        <w:t xml:space="preserve">U predviđanju </w:t>
      </w:r>
      <w:r w:rsidR="009A694E" w:rsidRPr="00225313">
        <w:rPr>
          <w:lang w:val="hr-HR"/>
        </w:rPr>
        <w:t>entalpijsk</w:t>
      </w:r>
      <w:r w:rsidR="00197388">
        <w:rPr>
          <w:lang w:val="hr-HR"/>
        </w:rPr>
        <w:t>og</w:t>
      </w:r>
      <w:r w:rsidR="009A694E" w:rsidRPr="00225313">
        <w:rPr>
          <w:lang w:val="hr-HR"/>
        </w:rPr>
        <w:t xml:space="preserve"> doprinos</w:t>
      </w:r>
      <w:r w:rsidR="00197388">
        <w:rPr>
          <w:lang w:val="hr-HR"/>
        </w:rPr>
        <w:t>a</w:t>
      </w:r>
      <w:r w:rsidR="009A694E" w:rsidRPr="00225313">
        <w:rPr>
          <w:lang w:val="hr-HR"/>
        </w:rPr>
        <w:t xml:space="preserve"> desolvatacije </w:t>
      </w:r>
      <w:r w:rsidR="00A00304">
        <w:rPr>
          <w:lang w:val="hr-HR"/>
        </w:rPr>
        <w:t>receptora</w:t>
      </w:r>
      <w:r w:rsidR="00A00304" w:rsidRPr="00225313">
        <w:rPr>
          <w:lang w:val="hr-HR"/>
        </w:rPr>
        <w:t xml:space="preserve"> </w:t>
      </w:r>
      <w:r w:rsidR="00197388">
        <w:rPr>
          <w:lang w:val="hr-HR"/>
        </w:rPr>
        <w:t xml:space="preserve">potrebno je </w:t>
      </w:r>
      <w:r w:rsidR="009A694E" w:rsidRPr="00225313">
        <w:rPr>
          <w:lang w:val="hr-HR"/>
        </w:rPr>
        <w:t xml:space="preserve">znati na koji način su molekule otapala bile strukturirane oko </w:t>
      </w:r>
      <w:r w:rsidR="00A00304">
        <w:rPr>
          <w:lang w:val="hr-HR"/>
        </w:rPr>
        <w:t>njega</w:t>
      </w:r>
      <w:r w:rsidR="00A00304" w:rsidRPr="00225313">
        <w:rPr>
          <w:lang w:val="hr-HR"/>
        </w:rPr>
        <w:t xml:space="preserve"> </w:t>
      </w:r>
      <w:r w:rsidR="009A694E" w:rsidRPr="00225313">
        <w:rPr>
          <w:lang w:val="hr-HR"/>
        </w:rPr>
        <w:t xml:space="preserve">odnosno usporedbu prosječnog broja vodikovih veza </w:t>
      </w:r>
      <w:r w:rsidR="00A00304">
        <w:rPr>
          <w:lang w:val="hr-HR"/>
        </w:rPr>
        <w:t>receptor</w:t>
      </w:r>
      <w:r w:rsidR="009A694E" w:rsidRPr="00225313">
        <w:rPr>
          <w:lang w:val="hr-HR"/>
        </w:rPr>
        <w:t xml:space="preserve">-otapalo prije desolvatacije i otapalo-otapalo nakon desolvatacije. S obzirom da su supramolekulski receptori većim dijelom nepolarne molekule, molekule otapala tvore slabe interakcije s </w:t>
      </w:r>
      <w:r w:rsidR="00A00304">
        <w:rPr>
          <w:lang w:val="hr-HR"/>
        </w:rPr>
        <w:t>njim</w:t>
      </w:r>
      <w:r w:rsidR="009A694E" w:rsidRPr="00225313">
        <w:rPr>
          <w:lang w:val="hr-HR"/>
        </w:rPr>
        <w:t xml:space="preserve">, a nakon otpuštanja u </w:t>
      </w:r>
      <w:r w:rsidR="009A694E" w:rsidRPr="00E51CAD">
        <w:rPr>
          <w:i/>
          <w:lang w:val="hr-HR"/>
        </w:rPr>
        <w:t>bulk</w:t>
      </w:r>
      <w:r w:rsidR="009A694E" w:rsidRPr="00225313">
        <w:rPr>
          <w:lang w:val="hr-HR"/>
        </w:rPr>
        <w:t xml:space="preserve"> tvore jače, najčešće vodikove veze, s molekulama otapala. </w:t>
      </w:r>
      <w:r w:rsidR="00B622E5" w:rsidRPr="00225313">
        <w:rPr>
          <w:lang w:val="hr-HR"/>
        </w:rPr>
        <w:t xml:space="preserve">Stoga je desolvatacija </w:t>
      </w:r>
      <w:r w:rsidR="00A00304">
        <w:rPr>
          <w:lang w:val="hr-HR"/>
        </w:rPr>
        <w:t>receptora</w:t>
      </w:r>
      <w:r w:rsidR="00A00304" w:rsidRPr="00225313">
        <w:rPr>
          <w:lang w:val="hr-HR"/>
        </w:rPr>
        <w:t xml:space="preserve"> </w:t>
      </w:r>
      <w:r w:rsidR="00B622E5" w:rsidRPr="00225313">
        <w:rPr>
          <w:lang w:val="hr-HR"/>
        </w:rPr>
        <w:t xml:space="preserve">najčešće entalpijski povoljan proces, pogotovo u slučaju </w:t>
      </w:r>
      <w:r w:rsidR="009A694E" w:rsidRPr="00225313">
        <w:rPr>
          <w:lang w:val="hr-HR"/>
        </w:rPr>
        <w:t xml:space="preserve">polarnijih otapala što je vidljivo i u radu </w:t>
      </w:r>
      <w:r w:rsidR="00DD0E16" w:rsidRPr="00225313">
        <w:rPr>
          <w:lang w:val="hr-HR"/>
        </w:rPr>
        <w:t>P</w:t>
      </w:r>
      <w:r w:rsidR="009A694E" w:rsidRPr="00225313">
        <w:rPr>
          <w:lang w:val="hr-HR"/>
        </w:rPr>
        <w:t>ožara i sur</w:t>
      </w:r>
      <w:r w:rsidR="00B622E5" w:rsidRPr="00225313">
        <w:rPr>
          <w:lang w:val="hr-HR"/>
        </w:rPr>
        <w:t>.</w:t>
      </w:r>
      <w:r w:rsidR="00107151">
        <w:rPr>
          <w:vertAlign w:val="superscript"/>
          <w:lang w:val="hr-HR"/>
        </w:rPr>
        <w:t>7</w:t>
      </w:r>
      <w:r w:rsidR="00B622E5" w:rsidRPr="00225313">
        <w:rPr>
          <w:lang w:val="hr-HR"/>
        </w:rPr>
        <w:t xml:space="preserve"> </w:t>
      </w:r>
      <w:r w:rsidR="009A694E" w:rsidRPr="00225313">
        <w:rPr>
          <w:lang w:val="hr-HR"/>
        </w:rPr>
        <w:t xml:space="preserve">u kojemu su </w:t>
      </w:r>
      <w:r w:rsidR="009A694E" w:rsidRPr="00225313">
        <w:rPr>
          <w:lang w:val="hr-HR"/>
        </w:rPr>
        <w:lastRenderedPageBreak/>
        <w:t xml:space="preserve">znanstvenici odredili termodinamičke parametre otapanja ketonskog derivata kaliks[4]arena (slika 1) u različitim organskim otapalima (tablica 1). </w:t>
      </w:r>
    </w:p>
    <w:p w14:paraId="417870A7" w14:textId="61420C7F" w:rsidR="009A694E" w:rsidRPr="00225313" w:rsidRDefault="009A694E" w:rsidP="009A694E">
      <w:pPr>
        <w:spacing w:line="360" w:lineRule="auto"/>
        <w:jc w:val="center"/>
        <w:rPr>
          <w:lang w:val="hr-HR"/>
        </w:rPr>
      </w:pPr>
      <w:r w:rsidRPr="00225313">
        <w:rPr>
          <w:noProof/>
          <w:lang w:val="hr-HR" w:eastAsia="hr-HR"/>
        </w:rPr>
        <w:drawing>
          <wp:inline distT="0" distB="0" distL="0" distR="0" wp14:anchorId="100807D9" wp14:editId="26247FA8">
            <wp:extent cx="1321770" cy="2051437"/>
            <wp:effectExtent l="0" t="0" r="0" b="6350"/>
            <wp:docPr id="5" name="Picture 5" descr="https://pubs.acs.org/cms/10.1021/acs.jpcb.7b05093/asset/images/medium/jp-2017-05093w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pubs.acs.org/cms/10.1021/acs.jpcb.7b05093/asset/images/medium/jp-2017-05093w_001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6462" cy="2105280"/>
                    </a:xfrm>
                    <a:prstGeom prst="rect">
                      <a:avLst/>
                    </a:prstGeom>
                    <a:noFill/>
                    <a:ln>
                      <a:noFill/>
                    </a:ln>
                  </pic:spPr>
                </pic:pic>
              </a:graphicData>
            </a:graphic>
          </wp:inline>
        </w:drawing>
      </w:r>
    </w:p>
    <w:p w14:paraId="18F09868" w14:textId="27B3FA79" w:rsidR="009A694E" w:rsidRPr="00225313" w:rsidRDefault="009A694E" w:rsidP="009A694E">
      <w:pPr>
        <w:spacing w:line="360" w:lineRule="auto"/>
        <w:jc w:val="center"/>
        <w:rPr>
          <w:highlight w:val="yellow"/>
          <w:lang w:val="hr-HR"/>
        </w:rPr>
      </w:pPr>
      <w:r w:rsidRPr="00225313">
        <w:rPr>
          <w:b/>
          <w:lang w:val="hr-HR"/>
        </w:rPr>
        <w:t xml:space="preserve">Slika </w:t>
      </w:r>
      <w:r w:rsidR="00065B7B" w:rsidRPr="00225313">
        <w:rPr>
          <w:b/>
          <w:lang w:val="hr-HR"/>
        </w:rPr>
        <w:t>3</w:t>
      </w:r>
      <w:r w:rsidRPr="00225313">
        <w:rPr>
          <w:b/>
          <w:lang w:val="hr-HR"/>
        </w:rPr>
        <w:t>.</w:t>
      </w:r>
      <w:r w:rsidRPr="00225313">
        <w:rPr>
          <w:lang w:val="hr-HR"/>
        </w:rPr>
        <w:t xml:space="preserve"> Struktura ketonskog derivata kaliks[4]arena.</w:t>
      </w:r>
      <w:r w:rsidR="00107151">
        <w:rPr>
          <w:vertAlign w:val="superscript"/>
          <w:lang w:val="hr-HR"/>
        </w:rPr>
        <w:t>7</w:t>
      </w:r>
    </w:p>
    <w:p w14:paraId="0766E07E" w14:textId="77777777" w:rsidR="009A694E" w:rsidRPr="00225313" w:rsidRDefault="009A694E" w:rsidP="009A694E">
      <w:pPr>
        <w:spacing w:line="360" w:lineRule="auto"/>
        <w:rPr>
          <w:lang w:val="hr-HR"/>
        </w:rPr>
      </w:pPr>
    </w:p>
    <w:p w14:paraId="6D9A83D9" w14:textId="1CF8062B" w:rsidR="009A694E" w:rsidRPr="00225313" w:rsidRDefault="009A694E" w:rsidP="009A694E">
      <w:pPr>
        <w:spacing w:line="360" w:lineRule="auto"/>
        <w:rPr>
          <w:lang w:val="hr-HR"/>
        </w:rPr>
      </w:pPr>
      <w:r w:rsidRPr="00225313">
        <w:rPr>
          <w:b/>
          <w:lang w:val="hr-HR"/>
        </w:rPr>
        <w:t xml:space="preserve">Tablica </w:t>
      </w:r>
      <w:r w:rsidR="00065B7B" w:rsidRPr="00225313">
        <w:rPr>
          <w:b/>
          <w:lang w:val="hr-HR"/>
        </w:rPr>
        <w:t>2</w:t>
      </w:r>
      <w:r w:rsidRPr="00225313">
        <w:rPr>
          <w:b/>
          <w:lang w:val="hr-HR"/>
        </w:rPr>
        <w:t>.</w:t>
      </w:r>
      <w:r w:rsidRPr="00225313">
        <w:rPr>
          <w:lang w:val="hr-HR"/>
        </w:rPr>
        <w:t xml:space="preserve"> Termodinamički parametri otapanja ketonskog derivata kaliks[4]arena u organskim otapalima pri 25°C.</w:t>
      </w:r>
      <w:r w:rsidR="00107151">
        <w:rPr>
          <w:vertAlign w:val="superscript"/>
          <w:lang w:val="hr-HR"/>
        </w:rPr>
        <w:t>7</w:t>
      </w:r>
    </w:p>
    <w:tbl>
      <w:tblPr>
        <w:tblW w:w="3849" w:type="pct"/>
        <w:jc w:val="center"/>
        <w:tblLayout w:type="fixed"/>
        <w:tblCellMar>
          <w:left w:w="115" w:type="dxa"/>
          <w:right w:w="115" w:type="dxa"/>
        </w:tblCellMar>
        <w:tblLook w:val="04A0" w:firstRow="1" w:lastRow="0" w:firstColumn="1" w:lastColumn="0" w:noHBand="0" w:noVBand="1"/>
      </w:tblPr>
      <w:tblGrid>
        <w:gridCol w:w="890"/>
        <w:gridCol w:w="1665"/>
        <w:gridCol w:w="1388"/>
        <w:gridCol w:w="1610"/>
        <w:gridCol w:w="1607"/>
      </w:tblGrid>
      <w:tr w:rsidR="009A694E" w:rsidRPr="00225313" w14:paraId="72836D6C" w14:textId="77777777" w:rsidTr="009A694E">
        <w:trPr>
          <w:trHeight w:val="918"/>
          <w:jc w:val="center"/>
        </w:trPr>
        <w:tc>
          <w:tcPr>
            <w:tcW w:w="622" w:type="pct"/>
            <w:tcBorders>
              <w:top w:val="single" w:sz="4" w:space="0" w:color="auto"/>
              <w:left w:val="nil"/>
              <w:bottom w:val="single" w:sz="4" w:space="0" w:color="auto"/>
              <w:right w:val="nil"/>
            </w:tcBorders>
            <w:shd w:val="clear" w:color="auto" w:fill="auto"/>
            <w:noWrap/>
            <w:vAlign w:val="center"/>
            <w:hideMark/>
          </w:tcPr>
          <w:p w14:paraId="0F261A7B" w14:textId="5F409B39" w:rsidR="009A694E" w:rsidRPr="00225313" w:rsidRDefault="009A694E" w:rsidP="00606224">
            <w:pPr>
              <w:rPr>
                <w:color w:val="000000" w:themeColor="text1"/>
                <w:sz w:val="20"/>
                <w:szCs w:val="28"/>
                <w:lang w:val="hr-HR"/>
              </w:rPr>
            </w:pPr>
            <w:r w:rsidRPr="00225313">
              <w:rPr>
                <w:color w:val="000000" w:themeColor="text1"/>
                <w:sz w:val="20"/>
                <w:szCs w:val="28"/>
                <w:lang w:val="hr-HR"/>
              </w:rPr>
              <w:t>otapalo</w:t>
            </w:r>
          </w:p>
        </w:tc>
        <w:tc>
          <w:tcPr>
            <w:tcW w:w="1163" w:type="pct"/>
            <w:tcBorders>
              <w:top w:val="single" w:sz="4" w:space="0" w:color="auto"/>
              <w:left w:val="nil"/>
              <w:right w:val="nil"/>
            </w:tcBorders>
            <w:shd w:val="clear" w:color="auto" w:fill="auto"/>
            <w:noWrap/>
            <w:vAlign w:val="center"/>
            <w:hideMark/>
          </w:tcPr>
          <w:p w14:paraId="5C26D370" w14:textId="40ED7CB8"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10</w:t>
            </w:r>
            <w:r w:rsidRPr="00225313">
              <w:rPr>
                <w:color w:val="000000" w:themeColor="text1"/>
                <w:sz w:val="20"/>
                <w:szCs w:val="28"/>
                <w:vertAlign w:val="superscript"/>
                <w:lang w:val="hr-HR"/>
              </w:rPr>
              <w:t>4</w:t>
            </w:r>
            <w:r w:rsidRPr="00225313">
              <w:rPr>
                <w:i/>
                <w:color w:val="000000" w:themeColor="text1"/>
                <w:sz w:val="20"/>
                <w:szCs w:val="28"/>
                <w:lang w:val="hr-HR"/>
              </w:rPr>
              <w:t>s</w:t>
            </w:r>
            <w:r w:rsidRPr="00225313">
              <w:rPr>
                <w:color w:val="000000" w:themeColor="text1"/>
                <w:sz w:val="20"/>
                <w:szCs w:val="28"/>
                <w:lang w:val="hr-HR"/>
              </w:rPr>
              <w:t xml:space="preserve"> / mol dm</w:t>
            </w:r>
            <w:r w:rsidRPr="00225313">
              <w:rPr>
                <w:color w:val="000000" w:themeColor="text1"/>
                <w:sz w:val="20"/>
                <w:szCs w:val="28"/>
                <w:vertAlign w:val="superscript"/>
                <w:lang w:val="hr-HR"/>
              </w:rPr>
              <w:t>–3</w:t>
            </w:r>
          </w:p>
        </w:tc>
        <w:tc>
          <w:tcPr>
            <w:tcW w:w="969" w:type="pct"/>
            <w:tcBorders>
              <w:top w:val="single" w:sz="4" w:space="0" w:color="auto"/>
              <w:left w:val="nil"/>
              <w:right w:val="nil"/>
            </w:tcBorders>
            <w:vAlign w:val="center"/>
          </w:tcPr>
          <w:p w14:paraId="7F5CE824" w14:textId="00BBE4CB" w:rsidR="009A694E" w:rsidRPr="00225313" w:rsidRDefault="009A694E" w:rsidP="00606224">
            <w:pPr>
              <w:jc w:val="center"/>
              <w:rPr>
                <w:color w:val="000000" w:themeColor="text1"/>
                <w:sz w:val="20"/>
                <w:szCs w:val="28"/>
                <w:lang w:val="hr-HR"/>
              </w:rPr>
            </w:pPr>
            <w:r w:rsidRPr="00225313">
              <w:rPr>
                <w:color w:val="000000" w:themeColor="text1"/>
                <w:position w:val="-24"/>
                <w:sz w:val="20"/>
                <w:szCs w:val="28"/>
                <w:lang w:val="hr-HR"/>
              </w:rPr>
              <w:object w:dxaOrig="800" w:dyaOrig="660" w14:anchorId="1502A2C8">
                <v:shape id="_x0000_i1029" type="#_x0000_t75" style="width:28.5pt;height:28.5pt" o:ole="">
                  <v:imagedata r:id="rId24" o:title=""/>
                </v:shape>
                <o:OLEObject Type="Embed" ProgID="Equation.DSMT4" ShapeID="_x0000_i1029" DrawAspect="Content" ObjectID="_1713949453" r:id="rId25"/>
              </w:object>
            </w:r>
          </w:p>
        </w:tc>
        <w:tc>
          <w:tcPr>
            <w:tcW w:w="1124" w:type="pct"/>
            <w:tcBorders>
              <w:top w:val="single" w:sz="4" w:space="0" w:color="auto"/>
              <w:left w:val="nil"/>
              <w:right w:val="nil"/>
            </w:tcBorders>
            <w:vAlign w:val="center"/>
          </w:tcPr>
          <w:p w14:paraId="2A42B78C" w14:textId="32E520BB" w:rsidR="009A694E" w:rsidRPr="00225313" w:rsidRDefault="009A694E" w:rsidP="00606224">
            <w:pPr>
              <w:jc w:val="center"/>
              <w:rPr>
                <w:color w:val="000000" w:themeColor="text1"/>
                <w:sz w:val="20"/>
                <w:szCs w:val="28"/>
                <w:lang w:val="hr-HR"/>
              </w:rPr>
            </w:pPr>
            <w:r w:rsidRPr="00225313">
              <w:rPr>
                <w:color w:val="000000" w:themeColor="text1"/>
                <w:position w:val="-24"/>
                <w:sz w:val="20"/>
                <w:szCs w:val="28"/>
                <w:lang w:val="hr-HR"/>
              </w:rPr>
              <w:object w:dxaOrig="800" w:dyaOrig="660" w14:anchorId="212B86E2">
                <v:shape id="_x0000_i1030" type="#_x0000_t75" style="width:33.75pt;height:28.5pt" o:ole="">
                  <v:imagedata r:id="rId26" o:title=""/>
                </v:shape>
                <o:OLEObject Type="Embed" ProgID="Equation.DSMT4" ShapeID="_x0000_i1030" DrawAspect="Content" ObjectID="_1713949454" r:id="rId27"/>
              </w:object>
            </w:r>
          </w:p>
        </w:tc>
        <w:tc>
          <w:tcPr>
            <w:tcW w:w="1122" w:type="pct"/>
            <w:tcBorders>
              <w:top w:val="single" w:sz="4" w:space="0" w:color="auto"/>
              <w:left w:val="nil"/>
              <w:right w:val="nil"/>
            </w:tcBorders>
            <w:vAlign w:val="center"/>
          </w:tcPr>
          <w:p w14:paraId="5C88431C" w14:textId="69DC1825" w:rsidR="009A694E" w:rsidRPr="00225313" w:rsidRDefault="009A694E" w:rsidP="00606224">
            <w:pPr>
              <w:jc w:val="center"/>
              <w:rPr>
                <w:color w:val="000000" w:themeColor="text1"/>
                <w:sz w:val="20"/>
                <w:szCs w:val="28"/>
                <w:lang w:val="hr-HR"/>
              </w:rPr>
            </w:pPr>
            <w:r w:rsidRPr="00225313">
              <w:rPr>
                <w:color w:val="000000" w:themeColor="text1"/>
                <w:position w:val="-24"/>
                <w:sz w:val="20"/>
                <w:szCs w:val="28"/>
                <w:lang w:val="hr-HR"/>
              </w:rPr>
              <w:object w:dxaOrig="1060" w:dyaOrig="660" w14:anchorId="1DE256BC">
                <v:shape id="_x0000_i1031" type="#_x0000_t75" style="width:43.5pt;height:28.5pt" o:ole="">
                  <v:imagedata r:id="rId28" o:title=""/>
                </v:shape>
                <o:OLEObject Type="Embed" ProgID="Equation.DSMT4" ShapeID="_x0000_i1031" DrawAspect="Content" ObjectID="_1713949455" r:id="rId29"/>
              </w:object>
            </w:r>
          </w:p>
        </w:tc>
      </w:tr>
      <w:tr w:rsidR="009A694E" w:rsidRPr="00225313" w14:paraId="09A1C126" w14:textId="77777777" w:rsidTr="009A694E">
        <w:trPr>
          <w:trHeight w:val="576"/>
          <w:jc w:val="center"/>
        </w:trPr>
        <w:tc>
          <w:tcPr>
            <w:tcW w:w="622" w:type="pct"/>
            <w:tcBorders>
              <w:top w:val="single" w:sz="4" w:space="0" w:color="auto"/>
              <w:left w:val="nil"/>
              <w:right w:val="nil"/>
            </w:tcBorders>
            <w:shd w:val="clear" w:color="auto" w:fill="auto"/>
            <w:noWrap/>
            <w:vAlign w:val="center"/>
            <w:hideMark/>
          </w:tcPr>
          <w:p w14:paraId="5B88F9B8" w14:textId="788EB0E9" w:rsidR="009A694E" w:rsidRPr="00225313" w:rsidRDefault="009A694E" w:rsidP="00606224">
            <w:pPr>
              <w:rPr>
                <w:color w:val="000000" w:themeColor="text1"/>
                <w:sz w:val="20"/>
                <w:szCs w:val="28"/>
                <w:lang w:val="hr-HR"/>
              </w:rPr>
            </w:pPr>
            <w:r w:rsidRPr="00225313">
              <w:rPr>
                <w:color w:val="000000" w:themeColor="text1"/>
                <w:sz w:val="20"/>
                <w:szCs w:val="28"/>
                <w:lang w:val="hr-HR"/>
              </w:rPr>
              <w:t>MeOH</w:t>
            </w:r>
          </w:p>
        </w:tc>
        <w:tc>
          <w:tcPr>
            <w:tcW w:w="1163" w:type="pct"/>
            <w:tcBorders>
              <w:top w:val="single" w:sz="4" w:space="0" w:color="auto"/>
              <w:left w:val="nil"/>
              <w:right w:val="nil"/>
            </w:tcBorders>
            <w:shd w:val="clear" w:color="auto" w:fill="auto"/>
            <w:noWrap/>
            <w:vAlign w:val="center"/>
          </w:tcPr>
          <w:p w14:paraId="30E0DF5C" w14:textId="294FFEDC"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4,46</w:t>
            </w:r>
          </w:p>
        </w:tc>
        <w:tc>
          <w:tcPr>
            <w:tcW w:w="969" w:type="pct"/>
            <w:tcBorders>
              <w:top w:val="single" w:sz="4" w:space="0" w:color="auto"/>
              <w:left w:val="nil"/>
              <w:right w:val="nil"/>
            </w:tcBorders>
            <w:vAlign w:val="center"/>
          </w:tcPr>
          <w:p w14:paraId="2A9FE322" w14:textId="033BCF2E"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19,1</w:t>
            </w:r>
          </w:p>
        </w:tc>
        <w:tc>
          <w:tcPr>
            <w:tcW w:w="1124" w:type="pct"/>
            <w:tcBorders>
              <w:top w:val="single" w:sz="4" w:space="0" w:color="auto"/>
              <w:left w:val="nil"/>
              <w:right w:val="nil"/>
            </w:tcBorders>
            <w:vAlign w:val="center"/>
          </w:tcPr>
          <w:p w14:paraId="52D94DEA" w14:textId="3C3528B3"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16,5</w:t>
            </w:r>
          </w:p>
        </w:tc>
        <w:tc>
          <w:tcPr>
            <w:tcW w:w="1122" w:type="pct"/>
            <w:tcBorders>
              <w:top w:val="single" w:sz="4" w:space="0" w:color="auto"/>
              <w:left w:val="nil"/>
              <w:right w:val="nil"/>
            </w:tcBorders>
            <w:vAlign w:val="center"/>
          </w:tcPr>
          <w:p w14:paraId="758EFD8B" w14:textId="3F80DE22"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–8,7</w:t>
            </w:r>
          </w:p>
        </w:tc>
      </w:tr>
      <w:tr w:rsidR="009A694E" w:rsidRPr="00225313" w14:paraId="3C86E0BF" w14:textId="77777777" w:rsidTr="009A694E">
        <w:trPr>
          <w:trHeight w:val="576"/>
          <w:jc w:val="center"/>
        </w:trPr>
        <w:tc>
          <w:tcPr>
            <w:tcW w:w="622" w:type="pct"/>
            <w:tcBorders>
              <w:left w:val="nil"/>
              <w:right w:val="nil"/>
            </w:tcBorders>
            <w:shd w:val="clear" w:color="auto" w:fill="auto"/>
            <w:vAlign w:val="center"/>
          </w:tcPr>
          <w:p w14:paraId="1D7B87D4" w14:textId="7F29F5C2" w:rsidR="009A694E" w:rsidRPr="00225313" w:rsidRDefault="009A694E" w:rsidP="00606224">
            <w:pPr>
              <w:rPr>
                <w:color w:val="000000" w:themeColor="text1"/>
                <w:sz w:val="20"/>
                <w:szCs w:val="28"/>
                <w:lang w:val="hr-HR"/>
              </w:rPr>
            </w:pPr>
            <w:r w:rsidRPr="00225313">
              <w:rPr>
                <w:color w:val="000000" w:themeColor="text1"/>
                <w:sz w:val="20"/>
                <w:szCs w:val="28"/>
                <w:lang w:val="hr-HR"/>
              </w:rPr>
              <w:t>EtOH</w:t>
            </w:r>
          </w:p>
        </w:tc>
        <w:tc>
          <w:tcPr>
            <w:tcW w:w="1163" w:type="pct"/>
            <w:tcBorders>
              <w:left w:val="nil"/>
              <w:right w:val="nil"/>
            </w:tcBorders>
            <w:shd w:val="clear" w:color="auto" w:fill="auto"/>
            <w:noWrap/>
            <w:vAlign w:val="center"/>
          </w:tcPr>
          <w:p w14:paraId="27168C43" w14:textId="6C7765DC"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3,35</w:t>
            </w:r>
          </w:p>
        </w:tc>
        <w:tc>
          <w:tcPr>
            <w:tcW w:w="969" w:type="pct"/>
            <w:tcBorders>
              <w:left w:val="nil"/>
              <w:right w:val="nil"/>
            </w:tcBorders>
            <w:vAlign w:val="center"/>
          </w:tcPr>
          <w:p w14:paraId="1EDFC8BD" w14:textId="3E00F67E"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19,3</w:t>
            </w:r>
          </w:p>
        </w:tc>
        <w:tc>
          <w:tcPr>
            <w:tcW w:w="1124" w:type="pct"/>
            <w:tcBorders>
              <w:left w:val="nil"/>
              <w:right w:val="nil"/>
            </w:tcBorders>
            <w:vAlign w:val="center"/>
          </w:tcPr>
          <w:p w14:paraId="0A24CCB6" w14:textId="72E95F21"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30,9</w:t>
            </w:r>
          </w:p>
        </w:tc>
        <w:tc>
          <w:tcPr>
            <w:tcW w:w="1122" w:type="pct"/>
            <w:tcBorders>
              <w:left w:val="nil"/>
              <w:right w:val="nil"/>
            </w:tcBorders>
            <w:vAlign w:val="center"/>
          </w:tcPr>
          <w:p w14:paraId="40CE119F" w14:textId="5B05FEA7"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39,0</w:t>
            </w:r>
          </w:p>
        </w:tc>
      </w:tr>
      <w:tr w:rsidR="009A694E" w:rsidRPr="00225313" w14:paraId="6C4800ED" w14:textId="77777777" w:rsidTr="009A694E">
        <w:trPr>
          <w:trHeight w:val="576"/>
          <w:jc w:val="center"/>
        </w:trPr>
        <w:tc>
          <w:tcPr>
            <w:tcW w:w="622" w:type="pct"/>
            <w:tcBorders>
              <w:left w:val="nil"/>
              <w:right w:val="nil"/>
            </w:tcBorders>
            <w:shd w:val="clear" w:color="auto" w:fill="auto"/>
            <w:vAlign w:val="center"/>
          </w:tcPr>
          <w:p w14:paraId="1D68CD04" w14:textId="4261DAC4" w:rsidR="009A694E" w:rsidRPr="00225313" w:rsidRDefault="009A694E" w:rsidP="00606224">
            <w:pPr>
              <w:rPr>
                <w:color w:val="000000" w:themeColor="text1"/>
                <w:sz w:val="20"/>
                <w:szCs w:val="28"/>
                <w:lang w:val="hr-HR"/>
              </w:rPr>
            </w:pPr>
            <w:r w:rsidRPr="00225313">
              <w:rPr>
                <w:color w:val="000000" w:themeColor="text1"/>
                <w:sz w:val="20"/>
                <w:szCs w:val="28"/>
                <w:lang w:val="hr-HR"/>
              </w:rPr>
              <w:t>NMF</w:t>
            </w:r>
          </w:p>
        </w:tc>
        <w:tc>
          <w:tcPr>
            <w:tcW w:w="1163" w:type="pct"/>
            <w:tcBorders>
              <w:left w:val="nil"/>
              <w:right w:val="nil"/>
            </w:tcBorders>
            <w:shd w:val="clear" w:color="auto" w:fill="auto"/>
            <w:noWrap/>
            <w:vAlign w:val="center"/>
          </w:tcPr>
          <w:p w14:paraId="588DCCD2" w14:textId="16144E6A"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3,39</w:t>
            </w:r>
          </w:p>
        </w:tc>
        <w:tc>
          <w:tcPr>
            <w:tcW w:w="969" w:type="pct"/>
            <w:tcBorders>
              <w:left w:val="nil"/>
              <w:right w:val="nil"/>
            </w:tcBorders>
            <w:vAlign w:val="center"/>
          </w:tcPr>
          <w:p w14:paraId="5D430DF3" w14:textId="6FDA6920"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19,8</w:t>
            </w:r>
          </w:p>
        </w:tc>
        <w:tc>
          <w:tcPr>
            <w:tcW w:w="1124" w:type="pct"/>
            <w:tcBorders>
              <w:left w:val="nil"/>
              <w:right w:val="nil"/>
            </w:tcBorders>
            <w:vAlign w:val="center"/>
          </w:tcPr>
          <w:p w14:paraId="707B05BB" w14:textId="63A44580"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11,0</w:t>
            </w:r>
          </w:p>
        </w:tc>
        <w:tc>
          <w:tcPr>
            <w:tcW w:w="1122" w:type="pct"/>
            <w:tcBorders>
              <w:left w:val="nil"/>
              <w:right w:val="nil"/>
            </w:tcBorders>
            <w:vAlign w:val="center"/>
          </w:tcPr>
          <w:p w14:paraId="3A97CAB3" w14:textId="143A2DF9"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–29,3</w:t>
            </w:r>
          </w:p>
        </w:tc>
      </w:tr>
      <w:tr w:rsidR="009A694E" w:rsidRPr="00225313" w14:paraId="74FFE4D7" w14:textId="77777777" w:rsidTr="009A694E">
        <w:trPr>
          <w:trHeight w:val="576"/>
          <w:jc w:val="center"/>
        </w:trPr>
        <w:tc>
          <w:tcPr>
            <w:tcW w:w="622" w:type="pct"/>
            <w:tcBorders>
              <w:left w:val="nil"/>
              <w:right w:val="nil"/>
            </w:tcBorders>
            <w:shd w:val="clear" w:color="auto" w:fill="auto"/>
            <w:vAlign w:val="center"/>
          </w:tcPr>
          <w:p w14:paraId="21588461" w14:textId="3BDF6B9C" w:rsidR="009A694E" w:rsidRPr="00225313" w:rsidRDefault="009A694E" w:rsidP="00606224">
            <w:pPr>
              <w:rPr>
                <w:color w:val="000000" w:themeColor="text1"/>
                <w:sz w:val="20"/>
                <w:szCs w:val="28"/>
                <w:lang w:val="hr-HR"/>
              </w:rPr>
            </w:pPr>
            <w:r w:rsidRPr="00225313">
              <w:rPr>
                <w:color w:val="000000" w:themeColor="text1"/>
                <w:sz w:val="20"/>
                <w:szCs w:val="28"/>
                <w:lang w:val="hr-HR"/>
              </w:rPr>
              <w:t>DMF</w:t>
            </w:r>
          </w:p>
        </w:tc>
        <w:tc>
          <w:tcPr>
            <w:tcW w:w="1163" w:type="pct"/>
            <w:tcBorders>
              <w:left w:val="nil"/>
              <w:right w:val="nil"/>
            </w:tcBorders>
            <w:shd w:val="clear" w:color="auto" w:fill="auto"/>
            <w:noWrap/>
            <w:vAlign w:val="center"/>
          </w:tcPr>
          <w:p w14:paraId="5BDB2F84" w14:textId="0A7C3E65"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77,6</w:t>
            </w:r>
          </w:p>
        </w:tc>
        <w:tc>
          <w:tcPr>
            <w:tcW w:w="969" w:type="pct"/>
            <w:tcBorders>
              <w:left w:val="nil"/>
              <w:right w:val="nil"/>
            </w:tcBorders>
            <w:vAlign w:val="center"/>
          </w:tcPr>
          <w:p w14:paraId="7F335632" w14:textId="0BAB07AC"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12,0</w:t>
            </w:r>
          </w:p>
        </w:tc>
        <w:tc>
          <w:tcPr>
            <w:tcW w:w="1124" w:type="pct"/>
            <w:tcBorders>
              <w:left w:val="nil"/>
              <w:right w:val="nil"/>
            </w:tcBorders>
            <w:vAlign w:val="center"/>
          </w:tcPr>
          <w:p w14:paraId="6F7EBC37" w14:textId="6DD2184B"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10,5</w:t>
            </w:r>
          </w:p>
        </w:tc>
        <w:tc>
          <w:tcPr>
            <w:tcW w:w="1122" w:type="pct"/>
            <w:tcBorders>
              <w:left w:val="nil"/>
              <w:right w:val="nil"/>
            </w:tcBorders>
            <w:vAlign w:val="center"/>
          </w:tcPr>
          <w:p w14:paraId="6C077427" w14:textId="375720AA"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–5,3</w:t>
            </w:r>
          </w:p>
        </w:tc>
      </w:tr>
      <w:tr w:rsidR="009A694E" w:rsidRPr="00225313" w14:paraId="69000E65" w14:textId="77777777" w:rsidTr="009A694E">
        <w:trPr>
          <w:trHeight w:val="576"/>
          <w:jc w:val="center"/>
        </w:trPr>
        <w:tc>
          <w:tcPr>
            <w:tcW w:w="622" w:type="pct"/>
            <w:tcBorders>
              <w:left w:val="nil"/>
              <w:right w:val="nil"/>
            </w:tcBorders>
            <w:shd w:val="clear" w:color="auto" w:fill="auto"/>
            <w:vAlign w:val="center"/>
          </w:tcPr>
          <w:p w14:paraId="483C013C" w14:textId="5FADF8C6" w:rsidR="009A694E" w:rsidRPr="00225313" w:rsidRDefault="009A694E" w:rsidP="00606224">
            <w:pPr>
              <w:rPr>
                <w:color w:val="000000" w:themeColor="text1"/>
                <w:sz w:val="20"/>
                <w:szCs w:val="28"/>
                <w:lang w:val="hr-HR"/>
              </w:rPr>
            </w:pPr>
            <w:r w:rsidRPr="00225313">
              <w:rPr>
                <w:color w:val="000000" w:themeColor="text1"/>
                <w:sz w:val="20"/>
                <w:szCs w:val="28"/>
                <w:lang w:val="hr-HR"/>
              </w:rPr>
              <w:t>DMSO</w:t>
            </w:r>
          </w:p>
        </w:tc>
        <w:tc>
          <w:tcPr>
            <w:tcW w:w="1163" w:type="pct"/>
            <w:tcBorders>
              <w:left w:val="nil"/>
              <w:right w:val="nil"/>
            </w:tcBorders>
            <w:shd w:val="clear" w:color="auto" w:fill="auto"/>
            <w:noWrap/>
            <w:vAlign w:val="center"/>
          </w:tcPr>
          <w:p w14:paraId="41083DED" w14:textId="374F5EBB"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3,35</w:t>
            </w:r>
          </w:p>
        </w:tc>
        <w:tc>
          <w:tcPr>
            <w:tcW w:w="969" w:type="pct"/>
            <w:tcBorders>
              <w:left w:val="nil"/>
              <w:right w:val="nil"/>
            </w:tcBorders>
            <w:vAlign w:val="center"/>
          </w:tcPr>
          <w:p w14:paraId="743C92D9" w14:textId="01C9E22B"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18,7</w:t>
            </w:r>
          </w:p>
        </w:tc>
        <w:tc>
          <w:tcPr>
            <w:tcW w:w="1124" w:type="pct"/>
            <w:tcBorders>
              <w:left w:val="nil"/>
              <w:right w:val="nil"/>
            </w:tcBorders>
            <w:vAlign w:val="center"/>
          </w:tcPr>
          <w:p w14:paraId="52DA824C" w14:textId="54A834EA"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26,0</w:t>
            </w:r>
          </w:p>
        </w:tc>
        <w:tc>
          <w:tcPr>
            <w:tcW w:w="1122" w:type="pct"/>
            <w:tcBorders>
              <w:left w:val="nil"/>
              <w:right w:val="nil"/>
            </w:tcBorders>
            <w:vAlign w:val="center"/>
          </w:tcPr>
          <w:p w14:paraId="23C57401" w14:textId="0B5578CF"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24,6</w:t>
            </w:r>
          </w:p>
        </w:tc>
      </w:tr>
      <w:tr w:rsidR="009A694E" w:rsidRPr="00225313" w14:paraId="446307E6" w14:textId="77777777" w:rsidTr="009A694E">
        <w:trPr>
          <w:trHeight w:val="576"/>
          <w:jc w:val="center"/>
        </w:trPr>
        <w:tc>
          <w:tcPr>
            <w:tcW w:w="622" w:type="pct"/>
            <w:tcBorders>
              <w:left w:val="nil"/>
              <w:right w:val="nil"/>
            </w:tcBorders>
            <w:shd w:val="clear" w:color="auto" w:fill="auto"/>
            <w:vAlign w:val="center"/>
          </w:tcPr>
          <w:p w14:paraId="3CFF3965" w14:textId="6EE84C06" w:rsidR="009A694E" w:rsidRPr="00225313" w:rsidRDefault="009A694E" w:rsidP="00606224">
            <w:pPr>
              <w:rPr>
                <w:color w:val="000000" w:themeColor="text1"/>
                <w:sz w:val="20"/>
                <w:szCs w:val="28"/>
                <w:lang w:val="hr-HR"/>
              </w:rPr>
            </w:pPr>
            <w:r w:rsidRPr="00225313">
              <w:rPr>
                <w:color w:val="000000" w:themeColor="text1"/>
                <w:sz w:val="20"/>
                <w:szCs w:val="28"/>
                <w:lang w:val="hr-HR"/>
              </w:rPr>
              <w:t>MeCN</w:t>
            </w:r>
          </w:p>
        </w:tc>
        <w:tc>
          <w:tcPr>
            <w:tcW w:w="1163" w:type="pct"/>
            <w:tcBorders>
              <w:left w:val="nil"/>
              <w:right w:val="nil"/>
            </w:tcBorders>
            <w:shd w:val="clear" w:color="auto" w:fill="auto"/>
            <w:noWrap/>
            <w:vAlign w:val="center"/>
          </w:tcPr>
          <w:p w14:paraId="26499E44" w14:textId="48A4F2FB"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27,3</w:t>
            </w:r>
          </w:p>
        </w:tc>
        <w:tc>
          <w:tcPr>
            <w:tcW w:w="969" w:type="pct"/>
            <w:tcBorders>
              <w:left w:val="nil"/>
              <w:right w:val="nil"/>
            </w:tcBorders>
            <w:vAlign w:val="center"/>
          </w:tcPr>
          <w:p w14:paraId="7149654D" w14:textId="33881215"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14,6</w:t>
            </w:r>
          </w:p>
        </w:tc>
        <w:tc>
          <w:tcPr>
            <w:tcW w:w="1124" w:type="pct"/>
            <w:tcBorders>
              <w:left w:val="nil"/>
              <w:right w:val="nil"/>
            </w:tcBorders>
            <w:vAlign w:val="center"/>
          </w:tcPr>
          <w:p w14:paraId="27C02992" w14:textId="0804EA19"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12,4</w:t>
            </w:r>
          </w:p>
        </w:tc>
        <w:tc>
          <w:tcPr>
            <w:tcW w:w="1122" w:type="pct"/>
            <w:tcBorders>
              <w:left w:val="nil"/>
              <w:right w:val="nil"/>
            </w:tcBorders>
            <w:vAlign w:val="center"/>
          </w:tcPr>
          <w:p w14:paraId="12077D6A" w14:textId="6FEE0EB4" w:rsidR="009A694E" w:rsidRPr="00225313" w:rsidRDefault="009A694E" w:rsidP="00606224">
            <w:pPr>
              <w:jc w:val="center"/>
              <w:rPr>
                <w:color w:val="000000" w:themeColor="text1"/>
                <w:sz w:val="20"/>
                <w:szCs w:val="28"/>
                <w:lang w:val="hr-HR"/>
              </w:rPr>
            </w:pPr>
            <w:r w:rsidRPr="00225313">
              <w:rPr>
                <w:color w:val="000000" w:themeColor="text1"/>
                <w:sz w:val="20"/>
                <w:szCs w:val="28"/>
                <w:lang w:val="hr-HR"/>
              </w:rPr>
              <w:t>–7,5</w:t>
            </w:r>
          </w:p>
        </w:tc>
      </w:tr>
    </w:tbl>
    <w:p w14:paraId="3ED1272B" w14:textId="77777777" w:rsidR="009A694E" w:rsidRPr="00225313" w:rsidRDefault="009A694E" w:rsidP="00A07DE1">
      <w:pPr>
        <w:spacing w:line="360" w:lineRule="auto"/>
        <w:jc w:val="both"/>
        <w:rPr>
          <w:lang w:val="hr-HR"/>
        </w:rPr>
      </w:pPr>
    </w:p>
    <w:p w14:paraId="4378C99C" w14:textId="261A0279" w:rsidR="009C61AA" w:rsidRPr="00225313" w:rsidRDefault="009C61AA" w:rsidP="00A07DE1">
      <w:pPr>
        <w:spacing w:line="360" w:lineRule="auto"/>
        <w:jc w:val="both"/>
        <w:rPr>
          <w:lang w:val="hr-HR"/>
        </w:rPr>
      </w:pPr>
      <w:r w:rsidRPr="00225313">
        <w:rPr>
          <w:lang w:val="hr-HR"/>
        </w:rPr>
        <w:t xml:space="preserve">Entropija desolvatacije ovisi o </w:t>
      </w:r>
      <w:r w:rsidR="009A694E" w:rsidRPr="00225313">
        <w:rPr>
          <w:lang w:val="hr-HR"/>
        </w:rPr>
        <w:t xml:space="preserve">strukturiranosti otapala, odnosno solvatacijske sfere oko receptora i u </w:t>
      </w:r>
      <w:r w:rsidR="009A694E" w:rsidRPr="00E51CAD">
        <w:rPr>
          <w:i/>
          <w:lang w:val="hr-HR"/>
        </w:rPr>
        <w:t>bulku</w:t>
      </w:r>
      <w:r w:rsidR="009A694E" w:rsidRPr="00225313">
        <w:rPr>
          <w:lang w:val="hr-HR"/>
        </w:rPr>
        <w:t xml:space="preserve">. Ukoliko dolazi do smanjenja strukturiranosti desolvatacija će biti entropijski povoljna, a u suprotnom slučaju entropijski nepovoljna. Iznos reakcijske entropije ovisit će o broju molekula otpuštenih tijekom kompleksiranja. </w:t>
      </w:r>
      <w:r w:rsidRPr="00225313">
        <w:rPr>
          <w:lang w:val="hr-HR"/>
        </w:rPr>
        <w:t xml:space="preserve"> </w:t>
      </w:r>
    </w:p>
    <w:p w14:paraId="3461422D" w14:textId="287CA8CE" w:rsidR="00800CD4" w:rsidRPr="00225313" w:rsidRDefault="009C61AA" w:rsidP="009C61AA">
      <w:pPr>
        <w:spacing w:line="360" w:lineRule="auto"/>
        <w:ind w:firstLine="680"/>
        <w:jc w:val="both"/>
        <w:rPr>
          <w:lang w:val="hr-HR"/>
        </w:rPr>
      </w:pPr>
      <w:r w:rsidRPr="00225313">
        <w:rPr>
          <w:lang w:val="hr-HR"/>
        </w:rPr>
        <w:t xml:space="preserve">Desolvatacija gosta uvelike ovisi o tome je li </w:t>
      </w:r>
      <w:r w:rsidR="008F68DD">
        <w:rPr>
          <w:lang w:val="hr-HR"/>
        </w:rPr>
        <w:t xml:space="preserve">molekula </w:t>
      </w:r>
      <w:r w:rsidRPr="00225313">
        <w:rPr>
          <w:lang w:val="hr-HR"/>
        </w:rPr>
        <w:t xml:space="preserve">nabijena ili neutralna. </w:t>
      </w:r>
      <w:r w:rsidR="00800CD4" w:rsidRPr="00225313">
        <w:rPr>
          <w:lang w:val="hr-HR"/>
        </w:rPr>
        <w:t xml:space="preserve">Ionske vrste interagiraju s molekulama otapala ion-dipol interakcijama koje su puno jače od dipol-dipol interakcija kojima međudjeluju neutralna molekula i molekula otapala. Stoga je </w:t>
      </w:r>
      <w:r w:rsidR="00800CD4" w:rsidRPr="00225313">
        <w:rPr>
          <w:lang w:val="hr-HR"/>
        </w:rPr>
        <w:lastRenderedPageBreak/>
        <w:t>desolvatacija ionskih vrsta entalpijski mnogo nepovoljnija od desolvatacije ne</w:t>
      </w:r>
      <w:r w:rsidR="00C94C87" w:rsidRPr="00225313">
        <w:rPr>
          <w:lang w:val="hr-HR"/>
        </w:rPr>
        <w:t>u</w:t>
      </w:r>
      <w:r w:rsidR="00800CD4" w:rsidRPr="00225313">
        <w:rPr>
          <w:lang w:val="hr-HR"/>
        </w:rPr>
        <w:t>tralnih molekula.</w:t>
      </w:r>
      <w:r w:rsidR="00A71799" w:rsidRPr="00225313">
        <w:rPr>
          <w:lang w:val="hr-HR"/>
        </w:rPr>
        <w:t xml:space="preserve"> </w:t>
      </w:r>
      <w:r w:rsidR="001C6C03" w:rsidRPr="00225313">
        <w:rPr>
          <w:lang w:val="hr-HR"/>
        </w:rPr>
        <w:t xml:space="preserve">Drugim </w:t>
      </w:r>
      <w:r w:rsidR="00390A03" w:rsidRPr="00225313">
        <w:rPr>
          <w:lang w:val="hr-HR"/>
        </w:rPr>
        <w:t>riječima</w:t>
      </w:r>
      <w:r w:rsidR="001C6C03" w:rsidRPr="00225313">
        <w:rPr>
          <w:lang w:val="hr-HR"/>
        </w:rPr>
        <w:t xml:space="preserve">, </w:t>
      </w:r>
      <w:r w:rsidR="007F56C5" w:rsidRPr="00225313">
        <w:rPr>
          <w:lang w:val="hr-HR"/>
        </w:rPr>
        <w:t xml:space="preserve">entalpijski doprinos desolvatacije je povoljniji u slučaju gosta manjeg omjera naboja i veličine. </w:t>
      </w:r>
      <w:r w:rsidR="00800CD4" w:rsidRPr="00225313">
        <w:rPr>
          <w:lang w:val="hr-HR"/>
        </w:rPr>
        <w:t>Entropijski doprinos desolvatacije gosta izraženiji je nego u slučaju receptora obzirom da vrlo često dolazi do potpune desolvatacije gosta. Entropijski doprinos stoga ovisi o veličini solvatacijske sfere oko gosta što pak ovisi o njegovoj veličini i naboju. Manji nabijeni gosti imaju veću solvatacijsku sferu pa će i njihov entropijski doprinos standardnoj Gibbsovoj energiji biti povoljniji.</w:t>
      </w:r>
      <w:r w:rsidR="00107151">
        <w:rPr>
          <w:vertAlign w:val="superscript"/>
          <w:lang w:val="hr-HR"/>
        </w:rPr>
        <w:t>8,9</w:t>
      </w:r>
      <w:r w:rsidR="00800CD4" w:rsidRPr="00225313">
        <w:rPr>
          <w:lang w:val="hr-HR"/>
        </w:rPr>
        <w:t xml:space="preserve"> </w:t>
      </w:r>
    </w:p>
    <w:p w14:paraId="3949FEEE" w14:textId="77777777" w:rsidR="00800CD4" w:rsidRPr="00225313" w:rsidRDefault="00800CD4" w:rsidP="00800CD4">
      <w:pPr>
        <w:spacing w:line="360" w:lineRule="auto"/>
        <w:jc w:val="both"/>
        <w:rPr>
          <w:lang w:val="hr-HR"/>
        </w:rPr>
      </w:pPr>
      <w:r w:rsidRPr="00225313">
        <w:rPr>
          <w:lang w:val="hr-HR"/>
        </w:rPr>
        <w:tab/>
        <w:t xml:space="preserve">Solvatacija kompleksa ovisi o veličini gosta, njegovom stupnju desolvatacije, odnosno je li u potpunosti ili smo djelomično desolvatiran prilikom reakcije. Također ovisi i o tome kako je naboj, ukoliko je gost bio nabijen, raspoređen po kompleksu jer o tome ovisi jačina solvatacije. </w:t>
      </w:r>
    </w:p>
    <w:p w14:paraId="2FA790A9" w14:textId="7E4C2BAC" w:rsidR="00C94C87" w:rsidRPr="00225313" w:rsidRDefault="00800CD4" w:rsidP="00800CD4">
      <w:pPr>
        <w:spacing w:line="360" w:lineRule="auto"/>
        <w:jc w:val="both"/>
        <w:rPr>
          <w:lang w:val="hr-HR"/>
        </w:rPr>
      </w:pPr>
      <w:r w:rsidRPr="00225313">
        <w:rPr>
          <w:lang w:val="hr-HR"/>
        </w:rPr>
        <w:tab/>
        <w:t xml:space="preserve">Obzirom da se pojedini procesi solvatacije i desolvatacije ne mogu izmjeriti, ponajviše zbog toga što dolazi do djelomične desolvatacije, često se rade termodinamički ciklusi sa </w:t>
      </w:r>
      <w:r w:rsidR="00390A03" w:rsidRPr="00225313">
        <w:rPr>
          <w:lang w:val="hr-HR"/>
        </w:rPr>
        <w:t>termodinamičkim</w:t>
      </w:r>
      <w:r w:rsidRPr="00225313">
        <w:rPr>
          <w:lang w:val="hr-HR"/>
        </w:rPr>
        <w:t xml:space="preserve"> veličinama transfera receptora, gosta i kompleksa iz jednog otapala u drugi</w:t>
      </w:r>
      <w:r w:rsidR="00C94C87" w:rsidRPr="00225313">
        <w:rPr>
          <w:lang w:val="hr-HR"/>
        </w:rPr>
        <w:t xml:space="preserve"> koji služe za usporedbu utjecaja otapala na pojedine vrste u reakciji kompleksiranja.</w:t>
      </w:r>
      <w:r w:rsidR="00107151">
        <w:rPr>
          <w:vertAlign w:val="superscript"/>
          <w:lang w:val="hr-HR"/>
        </w:rPr>
        <w:t>7</w:t>
      </w:r>
      <w:r w:rsidR="00606A30" w:rsidRPr="00225313">
        <w:rPr>
          <w:vertAlign w:val="superscript"/>
          <w:lang w:val="hr-HR"/>
        </w:rPr>
        <w:t>,</w:t>
      </w:r>
      <w:r w:rsidR="00107151">
        <w:rPr>
          <w:vertAlign w:val="superscript"/>
          <w:lang w:val="hr-HR"/>
        </w:rPr>
        <w:t>8</w:t>
      </w:r>
      <w:r w:rsidR="00606A30" w:rsidRPr="00225313">
        <w:rPr>
          <w:vertAlign w:val="superscript"/>
          <w:lang w:val="hr-HR"/>
        </w:rPr>
        <w:t>,</w:t>
      </w:r>
      <w:r w:rsidR="00107151">
        <w:rPr>
          <w:vertAlign w:val="superscript"/>
          <w:lang w:val="hr-HR"/>
        </w:rPr>
        <w:t>10</w:t>
      </w:r>
      <w:r w:rsidR="00606A30" w:rsidRPr="00225313">
        <w:rPr>
          <w:vertAlign w:val="superscript"/>
          <w:lang w:val="hr-HR"/>
        </w:rPr>
        <w:t>–1</w:t>
      </w:r>
      <w:r w:rsidR="00107151">
        <w:rPr>
          <w:vertAlign w:val="superscript"/>
          <w:lang w:val="hr-HR"/>
        </w:rPr>
        <w:t>3</w:t>
      </w:r>
      <w:r w:rsidRPr="00225313">
        <w:rPr>
          <w:lang w:val="hr-HR"/>
        </w:rPr>
        <w:t xml:space="preserve"> </w:t>
      </w:r>
      <w:r w:rsidR="00C94C87" w:rsidRPr="00225313">
        <w:rPr>
          <w:lang w:val="hr-HR"/>
        </w:rPr>
        <w:t xml:space="preserve">Takvi </w:t>
      </w:r>
      <w:r w:rsidR="00390A03" w:rsidRPr="00225313">
        <w:rPr>
          <w:lang w:val="hr-HR"/>
        </w:rPr>
        <w:t>termodinamički</w:t>
      </w:r>
      <w:r w:rsidR="00C94C87" w:rsidRPr="00225313">
        <w:rPr>
          <w:lang w:val="hr-HR"/>
        </w:rPr>
        <w:t xml:space="preserve"> ciklusi mogu se vidjeti u radu </w:t>
      </w:r>
      <w:r w:rsidR="00606A30" w:rsidRPr="00225313">
        <w:rPr>
          <w:lang w:val="hr-HR"/>
        </w:rPr>
        <w:t>Požara</w:t>
      </w:r>
      <w:r w:rsidR="00C94C87" w:rsidRPr="00225313">
        <w:rPr>
          <w:lang w:val="hr-HR"/>
        </w:rPr>
        <w:t xml:space="preserve"> i suradnika (slika </w:t>
      </w:r>
      <w:r w:rsidR="00065B7B" w:rsidRPr="00225313">
        <w:rPr>
          <w:lang w:val="hr-HR"/>
        </w:rPr>
        <w:t>4</w:t>
      </w:r>
      <w:r w:rsidR="00C94C87" w:rsidRPr="00225313">
        <w:rPr>
          <w:lang w:val="hr-HR"/>
        </w:rPr>
        <w:t>)</w:t>
      </w:r>
      <w:r w:rsidR="005B3047" w:rsidRPr="00225313">
        <w:rPr>
          <w:lang w:val="hr-HR"/>
        </w:rPr>
        <w:t>.</w:t>
      </w:r>
      <w:r w:rsidR="00606A30" w:rsidRPr="00225313">
        <w:rPr>
          <w:vertAlign w:val="superscript"/>
          <w:lang w:val="hr-HR"/>
        </w:rPr>
        <w:t>1</w:t>
      </w:r>
      <w:r w:rsidR="00107151">
        <w:rPr>
          <w:vertAlign w:val="superscript"/>
          <w:lang w:val="hr-HR"/>
        </w:rPr>
        <w:t>3</w:t>
      </w:r>
    </w:p>
    <w:p w14:paraId="4360C1E4" w14:textId="25AE9C4A" w:rsidR="00C94C87" w:rsidRPr="00225313" w:rsidRDefault="00C154B6" w:rsidP="00C94C87">
      <w:pPr>
        <w:spacing w:line="360" w:lineRule="auto"/>
        <w:jc w:val="center"/>
        <w:rPr>
          <w:lang w:val="hr-HR"/>
        </w:rPr>
      </w:pPr>
      <w:r w:rsidRPr="00C154B6">
        <w:rPr>
          <w:noProof/>
        </w:rPr>
        <w:drawing>
          <wp:inline distT="0" distB="0" distL="0" distR="0" wp14:anchorId="36AE95C1" wp14:editId="7F192D36">
            <wp:extent cx="3763036" cy="1258217"/>
            <wp:effectExtent l="0" t="0" r="0" b="0"/>
            <wp:docPr id="5122" name="Picture 2" descr="Shape&#10;&#10;Description automatically generated with medium confidence">
              <a:extLst xmlns:a="http://schemas.openxmlformats.org/drawingml/2006/main">
                <a:ext uri="{FF2B5EF4-FFF2-40B4-BE49-F238E27FC236}">
                  <a16:creationId xmlns:a16="http://schemas.microsoft.com/office/drawing/2014/main" id="{9BDF76D5-1B28-4A1B-9410-4FD5D4F50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Shape&#10;&#10;Description automatically generated with medium confidence">
                      <a:extLst>
                        <a:ext uri="{FF2B5EF4-FFF2-40B4-BE49-F238E27FC236}">
                          <a16:creationId xmlns:a16="http://schemas.microsoft.com/office/drawing/2014/main" id="{9BDF76D5-1B28-4A1B-9410-4FD5D4F50E5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782" cy="1274182"/>
                    </a:xfrm>
                    <a:prstGeom prst="rect">
                      <a:avLst/>
                    </a:prstGeom>
                    <a:noFill/>
                    <a:extLst/>
                  </pic:spPr>
                </pic:pic>
              </a:graphicData>
            </a:graphic>
          </wp:inline>
        </w:drawing>
      </w:r>
    </w:p>
    <w:p w14:paraId="02472A8B" w14:textId="3581136D" w:rsidR="00D2406A" w:rsidRPr="00225313" w:rsidRDefault="00C94C87" w:rsidP="00C94C87">
      <w:pPr>
        <w:spacing w:line="360" w:lineRule="auto"/>
        <w:jc w:val="center"/>
        <w:rPr>
          <w:lang w:val="hr-HR"/>
        </w:rPr>
      </w:pPr>
      <w:r w:rsidRPr="00225313">
        <w:rPr>
          <w:b/>
          <w:lang w:val="hr-HR"/>
        </w:rPr>
        <w:t xml:space="preserve">Slika </w:t>
      </w:r>
      <w:r w:rsidR="00065B7B" w:rsidRPr="00225313">
        <w:rPr>
          <w:b/>
          <w:lang w:val="hr-HR"/>
        </w:rPr>
        <w:t>4</w:t>
      </w:r>
      <w:r w:rsidRPr="00225313">
        <w:rPr>
          <w:b/>
          <w:lang w:val="hr-HR"/>
        </w:rPr>
        <w:t>.</w:t>
      </w:r>
      <w:r w:rsidRPr="00225313">
        <w:rPr>
          <w:lang w:val="hr-HR"/>
        </w:rPr>
        <w:t xml:space="preserve"> Primjer termodinamičkog ciklusa.</w:t>
      </w:r>
      <w:r w:rsidR="00606A30" w:rsidRPr="00225313">
        <w:rPr>
          <w:vertAlign w:val="superscript"/>
          <w:lang w:val="hr-HR"/>
        </w:rPr>
        <w:t>1</w:t>
      </w:r>
      <w:r w:rsidR="00107151">
        <w:rPr>
          <w:vertAlign w:val="superscript"/>
          <w:lang w:val="hr-HR"/>
        </w:rPr>
        <w:t>3</w:t>
      </w:r>
      <w:r w:rsidRPr="00225313">
        <w:rPr>
          <w:lang w:val="hr-HR"/>
        </w:rPr>
        <w:t xml:space="preserve"> </w:t>
      </w:r>
      <w:r w:rsidR="00D2406A" w:rsidRPr="00225313">
        <w:rPr>
          <w:lang w:val="hr-HR"/>
        </w:rPr>
        <w:br w:type="page"/>
      </w:r>
    </w:p>
    <w:p w14:paraId="10095C6B" w14:textId="4B286737" w:rsidR="00D2406A" w:rsidRPr="00225313" w:rsidRDefault="00D2406A" w:rsidP="00D2406A">
      <w:pPr>
        <w:pStyle w:val="OCJENSKIRADOVI2Podnaslovpoglavlja"/>
      </w:pPr>
      <w:bookmarkStart w:id="10" w:name="_Toc103335696"/>
      <w:r w:rsidRPr="00225313">
        <w:lastRenderedPageBreak/>
        <w:t>Kooperativnost</w:t>
      </w:r>
      <w:bookmarkEnd w:id="10"/>
    </w:p>
    <w:p w14:paraId="680C8118" w14:textId="42C166F0" w:rsidR="00D2406A" w:rsidRPr="00225313" w:rsidRDefault="00D2406A" w:rsidP="00D2406A">
      <w:pPr>
        <w:rPr>
          <w:lang w:val="hr-HR"/>
        </w:rPr>
      </w:pPr>
    </w:p>
    <w:p w14:paraId="5EDFA6DA" w14:textId="24B8FDB3" w:rsidR="00F269A6" w:rsidRPr="00225313" w:rsidRDefault="0077741E" w:rsidP="00F269A6">
      <w:pPr>
        <w:spacing w:line="360" w:lineRule="auto"/>
        <w:jc w:val="both"/>
        <w:rPr>
          <w:lang w:val="hr-HR"/>
        </w:rPr>
      </w:pPr>
      <w:r w:rsidRPr="00225313">
        <w:rPr>
          <w:lang w:val="hr-HR"/>
        </w:rPr>
        <w:t xml:space="preserve">U ovom poglavlju neće biti riječ o </w:t>
      </w:r>
      <w:r w:rsidR="00E2631F">
        <w:rPr>
          <w:lang w:val="hr-HR"/>
        </w:rPr>
        <w:t xml:space="preserve">klasičnim primjerima </w:t>
      </w:r>
      <w:r w:rsidR="00F269A6" w:rsidRPr="00225313">
        <w:rPr>
          <w:lang w:val="hr-HR"/>
        </w:rPr>
        <w:t xml:space="preserve">kooperativnosti </w:t>
      </w:r>
      <w:r w:rsidR="00E2631F">
        <w:rPr>
          <w:lang w:val="hr-HR"/>
        </w:rPr>
        <w:t xml:space="preserve">tijekom vezanja, kao što je </w:t>
      </w:r>
      <w:r w:rsidR="00F269A6" w:rsidRPr="00225313">
        <w:rPr>
          <w:lang w:val="hr-HR"/>
        </w:rPr>
        <w:t xml:space="preserve">vezanje molekule kisika na hem </w:t>
      </w:r>
      <w:r w:rsidR="00E2631F">
        <w:rPr>
          <w:lang w:val="hr-HR"/>
        </w:rPr>
        <w:t xml:space="preserve">u hemoglobinu uslijed čega se </w:t>
      </w:r>
      <w:r w:rsidR="00F269A6" w:rsidRPr="00225313">
        <w:rPr>
          <w:lang w:val="hr-HR"/>
        </w:rPr>
        <w:t xml:space="preserve">povećava afinitet prema molekuli kisika drugog hema na drugoj podjedinici, već utjecaj vezanja dva ili tri gosta na receptor </w:t>
      </w:r>
      <w:r w:rsidR="00E5294A">
        <w:rPr>
          <w:lang w:val="hr-HR"/>
        </w:rPr>
        <w:t xml:space="preserve">u slučaju neovisnih molekula gosta i </w:t>
      </w:r>
      <w:r w:rsidR="00F269A6" w:rsidRPr="00225313">
        <w:rPr>
          <w:lang w:val="hr-HR"/>
        </w:rPr>
        <w:t xml:space="preserve">kada su </w:t>
      </w:r>
      <w:r w:rsidR="00E5294A">
        <w:rPr>
          <w:lang w:val="hr-HR"/>
        </w:rPr>
        <w:t xml:space="preserve">molekula gosta </w:t>
      </w:r>
      <w:r w:rsidR="00F269A6" w:rsidRPr="00225313">
        <w:rPr>
          <w:lang w:val="hr-HR"/>
        </w:rPr>
        <w:t>povezan</w:t>
      </w:r>
      <w:r w:rsidR="00B93290">
        <w:rPr>
          <w:lang w:val="hr-HR"/>
        </w:rPr>
        <w:t>e</w:t>
      </w:r>
      <w:r w:rsidR="00F269A6" w:rsidRPr="00225313">
        <w:rPr>
          <w:lang w:val="hr-HR"/>
        </w:rPr>
        <w:t xml:space="preserve"> nekakvom poveznicom (slika 5).</w:t>
      </w:r>
    </w:p>
    <w:p w14:paraId="1096CA46" w14:textId="5464F1C6" w:rsidR="00D2406A" w:rsidRPr="00225313" w:rsidRDefault="00D24FAC" w:rsidP="00F269A6">
      <w:pPr>
        <w:spacing w:line="360" w:lineRule="auto"/>
        <w:jc w:val="center"/>
        <w:rPr>
          <w:lang w:val="hr-HR"/>
        </w:rPr>
      </w:pPr>
      <w:r w:rsidRPr="00225313">
        <w:rPr>
          <w:noProof/>
          <w:lang w:val="hr-HR" w:eastAsia="hr-HR"/>
        </w:rPr>
        <w:drawing>
          <wp:inline distT="0" distB="0" distL="0" distR="0" wp14:anchorId="3F9C2D5E" wp14:editId="522C72AD">
            <wp:extent cx="1667414" cy="2081578"/>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77813" cy="2094560"/>
                    </a:xfrm>
                    <a:prstGeom prst="rect">
                      <a:avLst/>
                    </a:prstGeom>
                  </pic:spPr>
                </pic:pic>
              </a:graphicData>
            </a:graphic>
          </wp:inline>
        </w:drawing>
      </w:r>
    </w:p>
    <w:p w14:paraId="0958C8A2" w14:textId="412819DB" w:rsidR="00F269A6" w:rsidRPr="00225313" w:rsidRDefault="00F269A6" w:rsidP="00F269A6">
      <w:pPr>
        <w:spacing w:line="360" w:lineRule="auto"/>
        <w:jc w:val="center"/>
        <w:rPr>
          <w:lang w:val="hr-HR"/>
        </w:rPr>
      </w:pPr>
      <w:r w:rsidRPr="00225313">
        <w:rPr>
          <w:b/>
          <w:lang w:val="hr-HR"/>
        </w:rPr>
        <w:t>Slika 5.</w:t>
      </w:r>
      <w:r w:rsidRPr="00225313">
        <w:rPr>
          <w:lang w:val="hr-HR"/>
        </w:rPr>
        <w:t xml:space="preserve"> </w:t>
      </w:r>
      <w:r w:rsidR="00D24FAC" w:rsidRPr="00225313">
        <w:rPr>
          <w:lang w:val="hr-HR"/>
        </w:rPr>
        <w:t>Shema vezanja gosta X i Y bez i sa poveznicom.</w:t>
      </w:r>
      <w:r w:rsidR="008A429E" w:rsidRPr="00225313">
        <w:rPr>
          <w:vertAlign w:val="superscript"/>
          <w:lang w:val="hr-HR"/>
        </w:rPr>
        <w:t>1</w:t>
      </w:r>
      <w:r w:rsidR="00107151">
        <w:rPr>
          <w:vertAlign w:val="superscript"/>
          <w:lang w:val="hr-HR"/>
        </w:rPr>
        <w:t>4</w:t>
      </w:r>
    </w:p>
    <w:p w14:paraId="1F2D5FC9" w14:textId="2AC05BB7" w:rsidR="00D24FAC" w:rsidRPr="00225313" w:rsidRDefault="00D24FAC" w:rsidP="00D24FAC">
      <w:pPr>
        <w:spacing w:line="360" w:lineRule="auto"/>
        <w:rPr>
          <w:lang w:val="hr-HR"/>
        </w:rPr>
      </w:pPr>
    </w:p>
    <w:p w14:paraId="308B5013" w14:textId="2AEF0746" w:rsidR="00D24FAC" w:rsidRPr="00225313" w:rsidRDefault="00D24FAC" w:rsidP="00617131">
      <w:pPr>
        <w:spacing w:line="360" w:lineRule="auto"/>
        <w:jc w:val="both"/>
        <w:rPr>
          <w:lang w:val="hr-HR"/>
        </w:rPr>
      </w:pPr>
      <w:r w:rsidRPr="00225313">
        <w:rPr>
          <w:lang w:val="hr-HR"/>
        </w:rPr>
        <w:t>Zna se da zbroj reakcijskih Gibbsovih energija vezanja dv</w:t>
      </w:r>
      <w:r w:rsidR="00617131" w:rsidRPr="00225313">
        <w:rPr>
          <w:lang w:val="hr-HR"/>
        </w:rPr>
        <w:t>a</w:t>
      </w:r>
      <w:r w:rsidRPr="00225313">
        <w:rPr>
          <w:lang w:val="hr-HR"/>
        </w:rPr>
        <w:t xml:space="preserve"> odvojena gosta na receptor</w:t>
      </w:r>
      <w:r w:rsidR="00617131" w:rsidRPr="00225313">
        <w:rPr>
          <w:lang w:val="hr-HR"/>
        </w:rPr>
        <w:t xml:space="preserve"> ne mora biti jednak onoj kada su ti gosti povezani. Ukoliko je reakcijska Gibbsova energija manja (jače vezanje) za povezane </w:t>
      </w:r>
      <w:r w:rsidR="0082167F">
        <w:rPr>
          <w:lang w:val="hr-HR"/>
        </w:rPr>
        <w:t xml:space="preserve">molekule </w:t>
      </w:r>
      <w:r w:rsidR="00617131" w:rsidRPr="00225313">
        <w:rPr>
          <w:lang w:val="hr-HR"/>
        </w:rPr>
        <w:t xml:space="preserve">gosta tada govorimo o pozitivnoj kooperativnosti, a u suprotnom govorimo o negativnoj </w:t>
      </w:r>
      <w:r w:rsidR="0082167F" w:rsidRPr="00225313">
        <w:rPr>
          <w:lang w:val="hr-HR"/>
        </w:rPr>
        <w:t>kooperativnosti</w:t>
      </w:r>
      <w:r w:rsidR="00617131" w:rsidRPr="00225313">
        <w:rPr>
          <w:lang w:val="hr-HR"/>
        </w:rPr>
        <w:t xml:space="preserve">. </w:t>
      </w:r>
      <w:r w:rsidR="00E45145">
        <w:rPr>
          <w:lang w:val="hr-HR"/>
        </w:rPr>
        <w:t xml:space="preserve">Termodinamički uzrok </w:t>
      </w:r>
      <w:r w:rsidR="00E02D0D" w:rsidRPr="00225313">
        <w:rPr>
          <w:lang w:val="hr-HR"/>
        </w:rPr>
        <w:t>p</w:t>
      </w:r>
      <w:r w:rsidR="006035D2" w:rsidRPr="00225313">
        <w:rPr>
          <w:lang w:val="hr-HR"/>
        </w:rPr>
        <w:t>ozitivn</w:t>
      </w:r>
      <w:r w:rsidR="00E02D0D" w:rsidRPr="00225313">
        <w:rPr>
          <w:lang w:val="hr-HR"/>
        </w:rPr>
        <w:t>e</w:t>
      </w:r>
      <w:r w:rsidR="006035D2" w:rsidRPr="00225313">
        <w:rPr>
          <w:lang w:val="hr-HR"/>
        </w:rPr>
        <w:t xml:space="preserve"> kooperativnost</w:t>
      </w:r>
      <w:r w:rsidR="00E02D0D" w:rsidRPr="00225313">
        <w:rPr>
          <w:lang w:val="hr-HR"/>
        </w:rPr>
        <w:t xml:space="preserve">i može </w:t>
      </w:r>
      <w:r w:rsidR="00E45145">
        <w:rPr>
          <w:lang w:val="hr-HR"/>
        </w:rPr>
        <w:t xml:space="preserve">biti </w:t>
      </w:r>
      <w:r w:rsidR="00E02D0D" w:rsidRPr="00225313">
        <w:rPr>
          <w:lang w:val="hr-HR"/>
        </w:rPr>
        <w:t>povoljnij</w:t>
      </w:r>
      <w:r w:rsidR="00E45145">
        <w:rPr>
          <w:lang w:val="hr-HR"/>
        </w:rPr>
        <w:t>a</w:t>
      </w:r>
      <w:r w:rsidR="00E02D0D" w:rsidRPr="00225313">
        <w:rPr>
          <w:lang w:val="hr-HR"/>
        </w:rPr>
        <w:t xml:space="preserve"> entalpij</w:t>
      </w:r>
      <w:r w:rsidR="00E45145">
        <w:rPr>
          <w:lang w:val="hr-HR"/>
        </w:rPr>
        <w:t>a</w:t>
      </w:r>
      <w:r w:rsidR="00E02D0D" w:rsidRPr="00225313">
        <w:rPr>
          <w:lang w:val="hr-HR"/>
        </w:rPr>
        <w:t xml:space="preserve"> i/ili povoljnij</w:t>
      </w:r>
      <w:r w:rsidR="00E45145">
        <w:rPr>
          <w:lang w:val="hr-HR"/>
        </w:rPr>
        <w:t>a</w:t>
      </w:r>
      <w:r w:rsidR="00E02D0D" w:rsidRPr="00225313">
        <w:rPr>
          <w:lang w:val="hr-HR"/>
        </w:rPr>
        <w:t xml:space="preserve"> entropij</w:t>
      </w:r>
      <w:r w:rsidR="00E45145">
        <w:rPr>
          <w:lang w:val="hr-HR"/>
        </w:rPr>
        <w:t>a</w:t>
      </w:r>
      <w:r w:rsidR="00E02D0D" w:rsidRPr="00225313">
        <w:rPr>
          <w:lang w:val="hr-HR"/>
        </w:rPr>
        <w:t xml:space="preserve">. </w:t>
      </w:r>
      <w:r w:rsidR="00537270" w:rsidRPr="00225313">
        <w:rPr>
          <w:lang w:val="hr-HR"/>
        </w:rPr>
        <w:t>Povoljnij</w:t>
      </w:r>
      <w:r w:rsidR="002004EB">
        <w:rPr>
          <w:lang w:val="hr-HR"/>
        </w:rPr>
        <w:t>i</w:t>
      </w:r>
      <w:r w:rsidR="00537270" w:rsidRPr="00225313">
        <w:rPr>
          <w:lang w:val="hr-HR"/>
        </w:rPr>
        <w:t xml:space="preserve"> ent</w:t>
      </w:r>
      <w:r w:rsidR="00615439">
        <w:rPr>
          <w:lang w:val="hr-HR"/>
        </w:rPr>
        <w:t xml:space="preserve">ropijski </w:t>
      </w:r>
      <w:r w:rsidR="002004EB">
        <w:rPr>
          <w:lang w:val="hr-HR"/>
        </w:rPr>
        <w:t xml:space="preserve"> doprinos</w:t>
      </w:r>
      <w:r w:rsidR="00537270" w:rsidRPr="00225313">
        <w:rPr>
          <w:lang w:val="hr-HR"/>
        </w:rPr>
        <w:t xml:space="preserve"> znači da se povezivanjem dva gosta smanjio gubitak stupnjeva slobode prilikom vezanja</w:t>
      </w:r>
      <w:r w:rsidR="00F10E76" w:rsidRPr="00225313">
        <w:rPr>
          <w:lang w:val="hr-HR"/>
        </w:rPr>
        <w:t xml:space="preserve"> </w:t>
      </w:r>
      <w:r w:rsidR="00615439">
        <w:rPr>
          <w:lang w:val="hr-HR"/>
        </w:rPr>
        <w:t xml:space="preserve">u odnosu na vezanje slobodnih molekula gosta, </w:t>
      </w:r>
      <w:r w:rsidR="00537270" w:rsidRPr="00225313">
        <w:rPr>
          <w:lang w:val="hr-HR"/>
        </w:rPr>
        <w:t xml:space="preserve">dok bi povoljnija entalpija značila da je došlo do jačanja međumolekulskih interakcija između receptora i X te Y gosta kada su povezani. </w:t>
      </w:r>
      <w:r w:rsidR="00115319" w:rsidRPr="00225313">
        <w:rPr>
          <w:lang w:val="hr-HR"/>
        </w:rPr>
        <w:t>U radu Searlea i suradnika</w:t>
      </w:r>
      <w:r w:rsidR="00994313" w:rsidRPr="00225313">
        <w:rPr>
          <w:vertAlign w:val="superscript"/>
          <w:lang w:val="hr-HR"/>
        </w:rPr>
        <w:t>1</w:t>
      </w:r>
      <w:r w:rsidR="00107151">
        <w:rPr>
          <w:vertAlign w:val="superscript"/>
          <w:lang w:val="hr-HR"/>
        </w:rPr>
        <w:t>5</w:t>
      </w:r>
      <w:r w:rsidR="00115319" w:rsidRPr="00225313">
        <w:rPr>
          <w:lang w:val="hr-HR"/>
        </w:rPr>
        <w:t xml:space="preserve"> istraženo je vezanje </w:t>
      </w:r>
      <w:r w:rsidR="00C54D3D" w:rsidRPr="00225313">
        <w:rPr>
          <w:lang w:val="hr-HR"/>
        </w:rPr>
        <w:t>glikopeptidnih antibiotika s gostima koji sadrže različiti broj donora i akceptora vodikove veze.</w:t>
      </w:r>
      <w:r w:rsidR="00554475" w:rsidRPr="00225313">
        <w:rPr>
          <w:lang w:val="hr-HR"/>
        </w:rPr>
        <w:t xml:space="preserve"> </w:t>
      </w:r>
      <w:r w:rsidR="001A640D">
        <w:rPr>
          <w:lang w:val="hr-HR"/>
        </w:rPr>
        <w:t>S o</w:t>
      </w:r>
      <w:r w:rsidR="00554475" w:rsidRPr="00225313">
        <w:rPr>
          <w:lang w:val="hr-HR"/>
        </w:rPr>
        <w:t xml:space="preserve">bzirom </w:t>
      </w:r>
      <w:r w:rsidR="001A640D">
        <w:rPr>
          <w:lang w:val="hr-HR"/>
        </w:rPr>
        <w:t xml:space="preserve">na to </w:t>
      </w:r>
      <w:r w:rsidR="00554475" w:rsidRPr="00225313">
        <w:rPr>
          <w:lang w:val="hr-HR"/>
        </w:rPr>
        <w:t>da je svaki gost sadržavao karboksilatnu skupinu, konstantu vezanja, pa prema tome i standardnu Gibbsovu energiju, odredili su praćenjem kemijskog pomaka amidnog protona receptora koji se veže na karboksilatnu skupinu. Dobivene standardne Gibbsove energije usporedili su sa kemijskim pomakom protona u trenutku kada u otopini ima 95 % kompleksa za svaki gost (</w:t>
      </w:r>
      <w:r w:rsidR="0034709D" w:rsidRPr="00225313">
        <w:rPr>
          <w:lang w:val="hr-HR"/>
        </w:rPr>
        <w:t>s</w:t>
      </w:r>
      <w:r w:rsidR="00554475" w:rsidRPr="00225313">
        <w:rPr>
          <w:lang w:val="hr-HR"/>
        </w:rPr>
        <w:t>lika 6).</w:t>
      </w:r>
    </w:p>
    <w:p w14:paraId="3154541B" w14:textId="623DBFF7" w:rsidR="00C54D3D" w:rsidRPr="00225313" w:rsidRDefault="00554475" w:rsidP="00554475">
      <w:pPr>
        <w:spacing w:line="360" w:lineRule="auto"/>
        <w:jc w:val="center"/>
        <w:rPr>
          <w:lang w:val="hr-HR"/>
        </w:rPr>
      </w:pPr>
      <w:r w:rsidRPr="00225313">
        <w:rPr>
          <w:noProof/>
          <w:lang w:val="hr-HR" w:eastAsia="hr-HR"/>
        </w:rPr>
        <w:lastRenderedPageBreak/>
        <w:drawing>
          <wp:inline distT="0" distB="0" distL="0" distR="0" wp14:anchorId="77CA7A01" wp14:editId="16269C10">
            <wp:extent cx="5565643" cy="262103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7162" cy="2626464"/>
                    </a:xfrm>
                    <a:prstGeom prst="rect">
                      <a:avLst/>
                    </a:prstGeom>
                    <a:noFill/>
                  </pic:spPr>
                </pic:pic>
              </a:graphicData>
            </a:graphic>
          </wp:inline>
        </w:drawing>
      </w:r>
    </w:p>
    <w:p w14:paraId="75FA62BC" w14:textId="4CEC49EC" w:rsidR="00554475" w:rsidRPr="00225313" w:rsidRDefault="00554475" w:rsidP="00554475">
      <w:pPr>
        <w:spacing w:line="360" w:lineRule="auto"/>
        <w:jc w:val="center"/>
        <w:rPr>
          <w:lang w:val="hr-HR"/>
        </w:rPr>
      </w:pPr>
      <w:r w:rsidRPr="00225313">
        <w:rPr>
          <w:b/>
          <w:lang w:val="hr-HR"/>
        </w:rPr>
        <w:t xml:space="preserve">Slika 6. </w:t>
      </w:r>
      <w:r w:rsidRPr="00225313">
        <w:rPr>
          <w:lang w:val="hr-HR"/>
        </w:rPr>
        <w:t xml:space="preserve">Lijevo: usporedba standardnih Gibbsobih energija vezanja sa </w:t>
      </w:r>
      <w:r w:rsidR="001A640D" w:rsidRPr="00225313">
        <w:rPr>
          <w:lang w:val="hr-HR"/>
        </w:rPr>
        <w:t>kemijskim</w:t>
      </w:r>
      <w:r w:rsidRPr="00225313">
        <w:rPr>
          <w:lang w:val="hr-HR"/>
        </w:rPr>
        <w:t xml:space="preserve"> pomakom amidnog protona vezanog na karboksilatnu skupinu u trenutku kada je u otopini 95 % kompleksa. Desno: struktura korištenih molekula gosta.</w:t>
      </w:r>
      <w:r w:rsidR="00994313" w:rsidRPr="00225313">
        <w:rPr>
          <w:vertAlign w:val="superscript"/>
          <w:lang w:val="hr-HR"/>
        </w:rPr>
        <w:t>1</w:t>
      </w:r>
      <w:r w:rsidR="00107151">
        <w:rPr>
          <w:vertAlign w:val="superscript"/>
          <w:lang w:val="hr-HR"/>
        </w:rPr>
        <w:t>5</w:t>
      </w:r>
    </w:p>
    <w:p w14:paraId="23282D55" w14:textId="575FE5E7" w:rsidR="00554475" w:rsidRPr="00225313" w:rsidRDefault="00554475" w:rsidP="00554475">
      <w:pPr>
        <w:spacing w:line="360" w:lineRule="auto"/>
        <w:rPr>
          <w:lang w:val="hr-HR"/>
        </w:rPr>
      </w:pPr>
    </w:p>
    <w:p w14:paraId="5AB13BBD" w14:textId="7551A182" w:rsidR="00606224" w:rsidRPr="00225313" w:rsidRDefault="001A640D" w:rsidP="00F10E76">
      <w:pPr>
        <w:spacing w:line="360" w:lineRule="auto"/>
        <w:jc w:val="both"/>
        <w:rPr>
          <w:lang w:val="hr-HR"/>
        </w:rPr>
      </w:pPr>
      <w:r>
        <w:rPr>
          <w:lang w:val="hr-HR"/>
        </w:rPr>
        <w:t xml:space="preserve">Budući </w:t>
      </w:r>
      <w:r w:rsidR="00554475" w:rsidRPr="00225313">
        <w:rPr>
          <w:lang w:val="hr-HR"/>
        </w:rPr>
        <w:t>da</w:t>
      </w:r>
      <w:r w:rsidR="00F10E76" w:rsidRPr="00225313">
        <w:rPr>
          <w:lang w:val="hr-HR"/>
        </w:rPr>
        <w:t xml:space="preserve"> se uspoređuje kemijski pomak istog protona u otopini sa 95 % kompleksa</w:t>
      </w:r>
      <w:r>
        <w:rPr>
          <w:lang w:val="hr-HR"/>
        </w:rPr>
        <w:t>,</w:t>
      </w:r>
      <w:r w:rsidR="00F10E76" w:rsidRPr="00225313">
        <w:rPr>
          <w:lang w:val="hr-HR"/>
        </w:rPr>
        <w:t xml:space="preserve"> o</w:t>
      </w:r>
      <w:r>
        <w:rPr>
          <w:lang w:val="hr-HR"/>
        </w:rPr>
        <w:t>dsj</w:t>
      </w:r>
      <w:r w:rsidR="00F10E76" w:rsidRPr="00225313">
        <w:rPr>
          <w:lang w:val="hr-HR"/>
        </w:rPr>
        <w:t xml:space="preserve">enjenost </w:t>
      </w:r>
      <w:r>
        <w:rPr>
          <w:lang w:val="hr-HR"/>
        </w:rPr>
        <w:t xml:space="preserve">tog protona </w:t>
      </w:r>
      <w:r w:rsidR="00F10E76" w:rsidRPr="00225313">
        <w:rPr>
          <w:lang w:val="hr-HR"/>
        </w:rPr>
        <w:t xml:space="preserve">govori o jačini vodikove veze. Iz prikaza je </w:t>
      </w:r>
      <w:r w:rsidR="005E08F6" w:rsidRPr="00225313">
        <w:rPr>
          <w:lang w:val="hr-HR"/>
        </w:rPr>
        <w:t>vidljivo</w:t>
      </w:r>
      <w:r w:rsidR="00F10E76" w:rsidRPr="00225313">
        <w:rPr>
          <w:lang w:val="hr-HR"/>
        </w:rPr>
        <w:t xml:space="preserve"> da </w:t>
      </w:r>
      <w:r w:rsidR="005E08F6" w:rsidRPr="00225313">
        <w:rPr>
          <w:lang w:val="hr-HR"/>
        </w:rPr>
        <w:t>o</w:t>
      </w:r>
      <w:r w:rsidR="005E08F6">
        <w:rPr>
          <w:lang w:val="hr-HR"/>
        </w:rPr>
        <w:t>dsj</w:t>
      </w:r>
      <w:r w:rsidR="005E08F6" w:rsidRPr="00225313">
        <w:rPr>
          <w:lang w:val="hr-HR"/>
        </w:rPr>
        <w:t>enjenost</w:t>
      </w:r>
      <w:r w:rsidR="005E08F6" w:rsidRPr="00225313" w:rsidDel="005E08F6">
        <w:rPr>
          <w:lang w:val="hr-HR"/>
        </w:rPr>
        <w:t xml:space="preserve"> </w:t>
      </w:r>
      <w:r w:rsidR="00F10E76" w:rsidRPr="00225313">
        <w:rPr>
          <w:lang w:val="hr-HR"/>
        </w:rPr>
        <w:t xml:space="preserve"> raste s brojem skupina u gostu koje mogu biti donori i akceptori vodikove veze, što znači da je </w:t>
      </w:r>
      <w:r w:rsidR="00BC0104" w:rsidRPr="00225313">
        <w:rPr>
          <w:lang w:val="hr-HR"/>
        </w:rPr>
        <w:t>jačina vezanja</w:t>
      </w:r>
      <w:r w:rsidR="00F10E76" w:rsidRPr="00225313">
        <w:rPr>
          <w:lang w:val="hr-HR"/>
        </w:rPr>
        <w:t xml:space="preserve"> potpomognut</w:t>
      </w:r>
      <w:r w:rsidR="00BC0104" w:rsidRPr="00225313">
        <w:rPr>
          <w:lang w:val="hr-HR"/>
        </w:rPr>
        <w:t>a</w:t>
      </w:r>
      <w:r w:rsidR="00F10E76" w:rsidRPr="00225313">
        <w:rPr>
          <w:lang w:val="hr-HR"/>
        </w:rPr>
        <w:t xml:space="preserve"> vezanjem gosta u drugom dijelu receptora. </w:t>
      </w:r>
      <w:r w:rsidR="00602B83" w:rsidRPr="00225313">
        <w:rPr>
          <w:lang w:val="hr-HR"/>
        </w:rPr>
        <w:t xml:space="preserve">Iako vezanje nije proučavano kalorimetrijski, jačanje vodikove veze upućuje na povećanje entalpijskog doprinosa standardnoj reakcijskog Gibbsovoj energiji, no to niša ne govori od </w:t>
      </w:r>
      <w:r w:rsidR="00315504" w:rsidRPr="00225313">
        <w:rPr>
          <w:lang w:val="hr-HR"/>
        </w:rPr>
        <w:t>reakcijskoj</w:t>
      </w:r>
      <w:r w:rsidR="00602B83" w:rsidRPr="00225313">
        <w:rPr>
          <w:lang w:val="hr-HR"/>
        </w:rPr>
        <w:t xml:space="preserve"> entropiji vezanja. U drugom radu</w:t>
      </w:r>
      <w:r w:rsidR="00F50709" w:rsidRPr="00225313">
        <w:rPr>
          <w:vertAlign w:val="superscript"/>
          <w:lang w:val="hr-HR"/>
        </w:rPr>
        <w:t>1</w:t>
      </w:r>
      <w:r w:rsidR="00107151">
        <w:rPr>
          <w:vertAlign w:val="superscript"/>
          <w:lang w:val="hr-HR"/>
        </w:rPr>
        <w:t>6</w:t>
      </w:r>
      <w:r w:rsidR="00602B83" w:rsidRPr="00225313">
        <w:rPr>
          <w:lang w:val="hr-HR"/>
        </w:rPr>
        <w:t xml:space="preserve"> ista grupa autora proučavala je </w:t>
      </w:r>
      <w:r w:rsidR="00606224" w:rsidRPr="00225313">
        <w:rPr>
          <w:lang w:val="hr-HR"/>
        </w:rPr>
        <w:t xml:space="preserve">dimerizaciju različitih tipova vankomicina u kojima je dobiveno da je veća promjena kemijskog pomaka popraćena povoljnijom entalpijom ali </w:t>
      </w:r>
      <w:r w:rsidR="00315504">
        <w:rPr>
          <w:lang w:val="hr-HR"/>
        </w:rPr>
        <w:t xml:space="preserve">i </w:t>
      </w:r>
      <w:r w:rsidR="00606224" w:rsidRPr="00225313">
        <w:rPr>
          <w:lang w:val="hr-HR"/>
        </w:rPr>
        <w:t>nepovoljnij</w:t>
      </w:r>
      <w:r w:rsidR="00315504">
        <w:rPr>
          <w:lang w:val="hr-HR"/>
        </w:rPr>
        <w:t>im</w:t>
      </w:r>
      <w:r w:rsidR="00606224" w:rsidRPr="00225313">
        <w:rPr>
          <w:lang w:val="hr-HR"/>
        </w:rPr>
        <w:t xml:space="preserve"> entropij</w:t>
      </w:r>
      <w:r w:rsidR="00315504">
        <w:rPr>
          <w:lang w:val="hr-HR"/>
        </w:rPr>
        <w:t>sk</w:t>
      </w:r>
      <w:r w:rsidR="00606224" w:rsidRPr="00225313">
        <w:rPr>
          <w:lang w:val="hr-HR"/>
        </w:rPr>
        <w:t xml:space="preserve">im </w:t>
      </w:r>
      <w:r w:rsidR="00315504">
        <w:rPr>
          <w:lang w:val="hr-HR"/>
        </w:rPr>
        <w:t xml:space="preserve">doprinosom </w:t>
      </w:r>
      <w:r w:rsidR="00606224" w:rsidRPr="00225313">
        <w:rPr>
          <w:lang w:val="hr-HR"/>
        </w:rPr>
        <w:t>(</w:t>
      </w:r>
      <w:r w:rsidR="0034709D" w:rsidRPr="00225313">
        <w:rPr>
          <w:lang w:val="hr-HR"/>
        </w:rPr>
        <w:t>tablica</w:t>
      </w:r>
      <w:r w:rsidR="00606224" w:rsidRPr="00225313">
        <w:rPr>
          <w:lang w:val="hr-HR"/>
        </w:rPr>
        <w:t xml:space="preserve"> </w:t>
      </w:r>
      <w:r w:rsidR="0034709D" w:rsidRPr="00225313">
        <w:rPr>
          <w:lang w:val="hr-HR"/>
        </w:rPr>
        <w:t>3</w:t>
      </w:r>
      <w:r w:rsidR="00606224" w:rsidRPr="00225313">
        <w:rPr>
          <w:lang w:val="hr-HR"/>
        </w:rPr>
        <w:t>) što objašnjavaju na način da jače vezanje uzrokuje manju konformacijsku slobodu.</w:t>
      </w:r>
    </w:p>
    <w:p w14:paraId="40B5BF31" w14:textId="77777777" w:rsidR="0034709D" w:rsidRPr="00225313" w:rsidRDefault="0034709D" w:rsidP="00F10E76">
      <w:pPr>
        <w:spacing w:line="360" w:lineRule="auto"/>
        <w:jc w:val="both"/>
        <w:rPr>
          <w:lang w:val="hr-HR"/>
        </w:rPr>
      </w:pPr>
    </w:p>
    <w:p w14:paraId="281378C7" w14:textId="44F2EA3B" w:rsidR="0034709D" w:rsidRPr="00225313" w:rsidRDefault="0034709D" w:rsidP="0034709D">
      <w:pPr>
        <w:spacing w:line="360" w:lineRule="auto"/>
        <w:jc w:val="center"/>
        <w:rPr>
          <w:lang w:val="hr-HR"/>
        </w:rPr>
      </w:pPr>
      <w:r w:rsidRPr="00225313">
        <w:rPr>
          <w:b/>
          <w:lang w:val="hr-HR"/>
        </w:rPr>
        <w:t>Tablica 3.</w:t>
      </w:r>
      <w:r w:rsidRPr="00225313">
        <w:rPr>
          <w:lang w:val="hr-HR"/>
        </w:rPr>
        <w:t xml:space="preserve"> Termodinamički parametri i promjena kemijskog pomaka dimerizacije različitih tipova vankomicina.</w:t>
      </w:r>
      <w:r w:rsidR="00F50709" w:rsidRPr="00225313">
        <w:rPr>
          <w:vertAlign w:val="superscript"/>
          <w:lang w:val="hr-HR"/>
        </w:rPr>
        <w:t>1</w:t>
      </w:r>
      <w:r w:rsidR="00107151">
        <w:rPr>
          <w:vertAlign w:val="superscript"/>
          <w:lang w:val="hr-HR"/>
        </w:rPr>
        <w:t>6</w:t>
      </w:r>
    </w:p>
    <w:tbl>
      <w:tblPr>
        <w:tblW w:w="3849" w:type="pct"/>
        <w:jc w:val="center"/>
        <w:tblLayout w:type="fixed"/>
        <w:tblCellMar>
          <w:left w:w="115" w:type="dxa"/>
          <w:right w:w="115" w:type="dxa"/>
        </w:tblCellMar>
        <w:tblLook w:val="04A0" w:firstRow="1" w:lastRow="0" w:firstColumn="1" w:lastColumn="0" w:noHBand="0" w:noVBand="1"/>
      </w:tblPr>
      <w:tblGrid>
        <w:gridCol w:w="1024"/>
        <w:gridCol w:w="1534"/>
        <w:gridCol w:w="1534"/>
        <w:gridCol w:w="1534"/>
        <w:gridCol w:w="1534"/>
      </w:tblGrid>
      <w:tr w:rsidR="00606224" w:rsidRPr="00225313" w14:paraId="65FAD375" w14:textId="77777777" w:rsidTr="0034709D">
        <w:trPr>
          <w:trHeight w:val="576"/>
          <w:jc w:val="center"/>
        </w:trPr>
        <w:tc>
          <w:tcPr>
            <w:tcW w:w="715" w:type="pct"/>
            <w:tcBorders>
              <w:top w:val="single" w:sz="4" w:space="0" w:color="auto"/>
              <w:left w:val="nil"/>
              <w:bottom w:val="single" w:sz="4" w:space="0" w:color="auto"/>
              <w:right w:val="nil"/>
            </w:tcBorders>
            <w:shd w:val="clear" w:color="auto" w:fill="auto"/>
            <w:noWrap/>
            <w:vAlign w:val="center"/>
            <w:hideMark/>
          </w:tcPr>
          <w:p w14:paraId="1051F5CE" w14:textId="2796ED74" w:rsidR="00606224" w:rsidRPr="00225313" w:rsidRDefault="00606224" w:rsidP="00606224">
            <w:pPr>
              <w:rPr>
                <w:color w:val="000000" w:themeColor="text1"/>
                <w:sz w:val="20"/>
                <w:szCs w:val="28"/>
                <w:lang w:val="hr-HR"/>
              </w:rPr>
            </w:pPr>
            <w:r w:rsidRPr="00225313">
              <w:rPr>
                <w:color w:val="000000" w:themeColor="text1"/>
                <w:sz w:val="20"/>
                <w:szCs w:val="28"/>
                <w:lang w:val="hr-HR"/>
              </w:rPr>
              <w:t>antibiotik</w:t>
            </w:r>
          </w:p>
        </w:tc>
        <w:tc>
          <w:tcPr>
            <w:tcW w:w="1071" w:type="pct"/>
            <w:tcBorders>
              <w:top w:val="single" w:sz="4" w:space="0" w:color="auto"/>
              <w:left w:val="nil"/>
              <w:right w:val="nil"/>
            </w:tcBorders>
            <w:shd w:val="clear" w:color="auto" w:fill="auto"/>
            <w:noWrap/>
            <w:vAlign w:val="center"/>
            <w:hideMark/>
          </w:tcPr>
          <w:p w14:paraId="334F970F" w14:textId="267710EC" w:rsidR="00606224" w:rsidRPr="00225313" w:rsidRDefault="001B1ECC" w:rsidP="00606224">
            <w:pPr>
              <w:jc w:val="center"/>
              <w:rPr>
                <w:color w:val="000000" w:themeColor="text1"/>
                <w:sz w:val="20"/>
                <w:szCs w:val="28"/>
                <w:lang w:val="hr-HR"/>
              </w:rPr>
            </w:pPr>
            <w:r w:rsidRPr="00225313">
              <w:rPr>
                <w:color w:val="000000" w:themeColor="text1"/>
                <w:position w:val="-24"/>
                <w:sz w:val="20"/>
                <w:szCs w:val="28"/>
                <w:lang w:val="hr-HR"/>
              </w:rPr>
              <w:object w:dxaOrig="800" w:dyaOrig="620" w14:anchorId="6365EA37">
                <v:shape id="_x0000_i1032" type="#_x0000_t75" style="width:28.5pt;height:26.25pt" o:ole="">
                  <v:imagedata r:id="rId33" o:title=""/>
                </v:shape>
                <o:OLEObject Type="Embed" ProgID="Equation.DSMT4" ShapeID="_x0000_i1032" DrawAspect="Content" ObjectID="_1713949456" r:id="rId34"/>
              </w:object>
            </w:r>
          </w:p>
        </w:tc>
        <w:tc>
          <w:tcPr>
            <w:tcW w:w="1071" w:type="pct"/>
            <w:tcBorders>
              <w:top w:val="single" w:sz="4" w:space="0" w:color="auto"/>
              <w:left w:val="nil"/>
              <w:right w:val="nil"/>
            </w:tcBorders>
            <w:vAlign w:val="center"/>
          </w:tcPr>
          <w:p w14:paraId="0F62EF45" w14:textId="64F01BD8" w:rsidR="00606224" w:rsidRPr="00225313" w:rsidRDefault="001B1ECC" w:rsidP="00606224">
            <w:pPr>
              <w:jc w:val="center"/>
              <w:rPr>
                <w:color w:val="000000" w:themeColor="text1"/>
                <w:sz w:val="20"/>
                <w:szCs w:val="28"/>
                <w:lang w:val="hr-HR"/>
              </w:rPr>
            </w:pPr>
            <w:r w:rsidRPr="00225313">
              <w:rPr>
                <w:color w:val="000000" w:themeColor="text1"/>
                <w:position w:val="-24"/>
                <w:sz w:val="20"/>
                <w:szCs w:val="28"/>
                <w:lang w:val="hr-HR"/>
              </w:rPr>
              <w:object w:dxaOrig="800" w:dyaOrig="620" w14:anchorId="76FE72B6">
                <v:shape id="_x0000_i1033" type="#_x0000_t75" style="width:33.75pt;height:26.25pt" o:ole="">
                  <v:imagedata r:id="rId35" o:title=""/>
                </v:shape>
                <o:OLEObject Type="Embed" ProgID="Equation.DSMT4" ShapeID="_x0000_i1033" DrawAspect="Content" ObjectID="_1713949457" r:id="rId36"/>
              </w:object>
            </w:r>
          </w:p>
        </w:tc>
        <w:tc>
          <w:tcPr>
            <w:tcW w:w="1071" w:type="pct"/>
            <w:tcBorders>
              <w:top w:val="single" w:sz="4" w:space="0" w:color="auto"/>
              <w:left w:val="nil"/>
              <w:right w:val="nil"/>
            </w:tcBorders>
            <w:vAlign w:val="center"/>
          </w:tcPr>
          <w:p w14:paraId="6181F538" w14:textId="4FB0D8C5" w:rsidR="00606224" w:rsidRPr="00225313" w:rsidRDefault="001B1ECC" w:rsidP="00606224">
            <w:pPr>
              <w:jc w:val="center"/>
              <w:rPr>
                <w:color w:val="000000" w:themeColor="text1"/>
                <w:sz w:val="20"/>
                <w:szCs w:val="28"/>
                <w:lang w:val="hr-HR"/>
              </w:rPr>
            </w:pPr>
            <w:r w:rsidRPr="00225313">
              <w:rPr>
                <w:color w:val="000000" w:themeColor="text1"/>
                <w:position w:val="-24"/>
                <w:sz w:val="20"/>
                <w:szCs w:val="28"/>
                <w:lang w:val="hr-HR"/>
              </w:rPr>
              <w:object w:dxaOrig="800" w:dyaOrig="620" w14:anchorId="46591498">
                <v:shape id="_x0000_i1034" type="#_x0000_t75" style="width:33.75pt;height:26.25pt" o:ole="">
                  <v:imagedata r:id="rId37" o:title=""/>
                </v:shape>
                <o:OLEObject Type="Embed" ProgID="Equation.DSMT4" ShapeID="_x0000_i1034" DrawAspect="Content" ObjectID="_1713949458" r:id="rId38"/>
              </w:object>
            </w:r>
          </w:p>
        </w:tc>
        <w:tc>
          <w:tcPr>
            <w:tcW w:w="1071" w:type="pct"/>
            <w:tcBorders>
              <w:top w:val="single" w:sz="4" w:space="0" w:color="auto"/>
              <w:left w:val="nil"/>
              <w:right w:val="nil"/>
            </w:tcBorders>
            <w:vAlign w:val="center"/>
          </w:tcPr>
          <w:p w14:paraId="51A9464D" w14:textId="5AE62D62" w:rsidR="00606224" w:rsidRPr="00225313" w:rsidRDefault="00606224" w:rsidP="00606224">
            <w:pPr>
              <w:jc w:val="center"/>
              <w:rPr>
                <w:color w:val="000000" w:themeColor="text1"/>
                <w:sz w:val="20"/>
                <w:szCs w:val="28"/>
                <w:lang w:val="hr-HR"/>
              </w:rPr>
            </w:pPr>
            <w:r w:rsidRPr="00225313">
              <w:rPr>
                <w:color w:val="000000" w:themeColor="text1"/>
                <w:position w:val="-28"/>
                <w:sz w:val="20"/>
                <w:szCs w:val="28"/>
                <w:lang w:val="hr-HR"/>
              </w:rPr>
              <w:object w:dxaOrig="560" w:dyaOrig="660" w14:anchorId="1089C4DC">
                <v:shape id="_x0000_i1035" type="#_x0000_t75" style="width:23.25pt;height:28.5pt" o:ole="">
                  <v:imagedata r:id="rId39" o:title=""/>
                </v:shape>
                <o:OLEObject Type="Embed" ProgID="Equation.DSMT4" ShapeID="_x0000_i1035" DrawAspect="Content" ObjectID="_1713949459" r:id="rId40"/>
              </w:object>
            </w:r>
          </w:p>
        </w:tc>
      </w:tr>
      <w:tr w:rsidR="00606224" w:rsidRPr="00225313" w14:paraId="40A308F5" w14:textId="77777777" w:rsidTr="0034709D">
        <w:trPr>
          <w:trHeight w:val="288"/>
          <w:jc w:val="center"/>
        </w:trPr>
        <w:tc>
          <w:tcPr>
            <w:tcW w:w="715" w:type="pct"/>
            <w:tcBorders>
              <w:top w:val="single" w:sz="4" w:space="0" w:color="auto"/>
              <w:left w:val="nil"/>
              <w:right w:val="nil"/>
            </w:tcBorders>
            <w:shd w:val="clear" w:color="auto" w:fill="auto"/>
            <w:noWrap/>
            <w:vAlign w:val="center"/>
            <w:hideMark/>
          </w:tcPr>
          <w:p w14:paraId="628F2763" w14:textId="1940DC81" w:rsidR="00606224" w:rsidRPr="00225313" w:rsidRDefault="001B1ECC" w:rsidP="001B1ECC">
            <w:pPr>
              <w:jc w:val="center"/>
              <w:rPr>
                <w:b/>
                <w:color w:val="000000" w:themeColor="text1"/>
                <w:sz w:val="20"/>
                <w:szCs w:val="28"/>
                <w:lang w:val="hr-HR"/>
              </w:rPr>
            </w:pPr>
            <w:r w:rsidRPr="00225313">
              <w:rPr>
                <w:b/>
                <w:color w:val="000000" w:themeColor="text1"/>
                <w:sz w:val="20"/>
                <w:szCs w:val="28"/>
                <w:lang w:val="hr-HR"/>
              </w:rPr>
              <w:t>1</w:t>
            </w:r>
          </w:p>
        </w:tc>
        <w:tc>
          <w:tcPr>
            <w:tcW w:w="1071" w:type="pct"/>
            <w:tcBorders>
              <w:top w:val="single" w:sz="4" w:space="0" w:color="auto"/>
              <w:left w:val="nil"/>
              <w:right w:val="nil"/>
            </w:tcBorders>
            <w:shd w:val="clear" w:color="auto" w:fill="auto"/>
            <w:noWrap/>
            <w:vAlign w:val="center"/>
          </w:tcPr>
          <w:p w14:paraId="28E6F2C8" w14:textId="0BC1E1F4"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–12</w:t>
            </w:r>
          </w:p>
        </w:tc>
        <w:tc>
          <w:tcPr>
            <w:tcW w:w="1071" w:type="pct"/>
            <w:tcBorders>
              <w:top w:val="single" w:sz="4" w:space="0" w:color="auto"/>
              <w:left w:val="nil"/>
              <w:right w:val="nil"/>
            </w:tcBorders>
            <w:vAlign w:val="center"/>
          </w:tcPr>
          <w:p w14:paraId="3EFCB920" w14:textId="7DD1CE62"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–20</w:t>
            </w:r>
          </w:p>
        </w:tc>
        <w:tc>
          <w:tcPr>
            <w:tcW w:w="1071" w:type="pct"/>
            <w:tcBorders>
              <w:top w:val="single" w:sz="4" w:space="0" w:color="auto"/>
              <w:left w:val="nil"/>
              <w:right w:val="nil"/>
            </w:tcBorders>
            <w:vAlign w:val="center"/>
          </w:tcPr>
          <w:p w14:paraId="0056CBA2" w14:textId="2D967A5D"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–8</w:t>
            </w:r>
          </w:p>
        </w:tc>
        <w:tc>
          <w:tcPr>
            <w:tcW w:w="1071" w:type="pct"/>
            <w:tcBorders>
              <w:top w:val="single" w:sz="4" w:space="0" w:color="auto"/>
              <w:left w:val="nil"/>
              <w:right w:val="nil"/>
            </w:tcBorders>
            <w:vAlign w:val="center"/>
          </w:tcPr>
          <w:p w14:paraId="1CCEB283" w14:textId="1DADBB18"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0,55</w:t>
            </w:r>
          </w:p>
        </w:tc>
      </w:tr>
      <w:tr w:rsidR="00606224" w:rsidRPr="00225313" w14:paraId="3E360355" w14:textId="77777777" w:rsidTr="0034709D">
        <w:trPr>
          <w:trHeight w:val="288"/>
          <w:jc w:val="center"/>
        </w:trPr>
        <w:tc>
          <w:tcPr>
            <w:tcW w:w="715" w:type="pct"/>
            <w:tcBorders>
              <w:left w:val="nil"/>
              <w:right w:val="nil"/>
            </w:tcBorders>
            <w:shd w:val="clear" w:color="auto" w:fill="auto"/>
            <w:vAlign w:val="center"/>
          </w:tcPr>
          <w:p w14:paraId="499B7E2A" w14:textId="59BDC47F" w:rsidR="00606224" w:rsidRPr="00225313" w:rsidRDefault="001B1ECC" w:rsidP="001B1ECC">
            <w:pPr>
              <w:jc w:val="center"/>
              <w:rPr>
                <w:b/>
                <w:color w:val="000000" w:themeColor="text1"/>
                <w:sz w:val="20"/>
                <w:szCs w:val="28"/>
                <w:lang w:val="hr-HR"/>
              </w:rPr>
            </w:pPr>
            <w:r w:rsidRPr="00225313">
              <w:rPr>
                <w:b/>
                <w:color w:val="000000" w:themeColor="text1"/>
                <w:sz w:val="20"/>
                <w:szCs w:val="28"/>
                <w:lang w:val="hr-HR"/>
              </w:rPr>
              <w:t>2</w:t>
            </w:r>
          </w:p>
        </w:tc>
        <w:tc>
          <w:tcPr>
            <w:tcW w:w="1071" w:type="pct"/>
            <w:tcBorders>
              <w:left w:val="nil"/>
              <w:right w:val="nil"/>
            </w:tcBorders>
            <w:shd w:val="clear" w:color="auto" w:fill="auto"/>
            <w:noWrap/>
            <w:vAlign w:val="center"/>
          </w:tcPr>
          <w:p w14:paraId="6D43DEF5" w14:textId="178F788F"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–16</w:t>
            </w:r>
          </w:p>
        </w:tc>
        <w:tc>
          <w:tcPr>
            <w:tcW w:w="1071" w:type="pct"/>
            <w:tcBorders>
              <w:left w:val="nil"/>
              <w:right w:val="nil"/>
            </w:tcBorders>
            <w:vAlign w:val="center"/>
          </w:tcPr>
          <w:p w14:paraId="5FCD44B4" w14:textId="5B9D1DD3"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–36</w:t>
            </w:r>
          </w:p>
        </w:tc>
        <w:tc>
          <w:tcPr>
            <w:tcW w:w="1071" w:type="pct"/>
            <w:tcBorders>
              <w:left w:val="nil"/>
              <w:right w:val="nil"/>
            </w:tcBorders>
            <w:vAlign w:val="center"/>
          </w:tcPr>
          <w:p w14:paraId="60D19637" w14:textId="4D6D4765"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–20</w:t>
            </w:r>
          </w:p>
        </w:tc>
        <w:tc>
          <w:tcPr>
            <w:tcW w:w="1071" w:type="pct"/>
            <w:tcBorders>
              <w:left w:val="nil"/>
              <w:right w:val="nil"/>
            </w:tcBorders>
            <w:vAlign w:val="center"/>
          </w:tcPr>
          <w:p w14:paraId="637C9A3D" w14:textId="4D555E0E"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0,70</w:t>
            </w:r>
          </w:p>
        </w:tc>
      </w:tr>
      <w:tr w:rsidR="00606224" w:rsidRPr="00225313" w14:paraId="4D012018" w14:textId="77777777" w:rsidTr="0034709D">
        <w:trPr>
          <w:trHeight w:val="288"/>
          <w:jc w:val="center"/>
        </w:trPr>
        <w:tc>
          <w:tcPr>
            <w:tcW w:w="715" w:type="pct"/>
            <w:tcBorders>
              <w:left w:val="nil"/>
              <w:right w:val="nil"/>
            </w:tcBorders>
            <w:shd w:val="clear" w:color="auto" w:fill="auto"/>
            <w:vAlign w:val="center"/>
          </w:tcPr>
          <w:p w14:paraId="392AA04E" w14:textId="430B272E" w:rsidR="00606224" w:rsidRPr="00225313" w:rsidRDefault="001B1ECC" w:rsidP="001B1ECC">
            <w:pPr>
              <w:jc w:val="center"/>
              <w:rPr>
                <w:b/>
                <w:color w:val="000000" w:themeColor="text1"/>
                <w:sz w:val="20"/>
                <w:szCs w:val="28"/>
                <w:lang w:val="hr-HR"/>
              </w:rPr>
            </w:pPr>
            <w:r w:rsidRPr="00225313">
              <w:rPr>
                <w:b/>
                <w:color w:val="000000" w:themeColor="text1"/>
                <w:sz w:val="20"/>
                <w:szCs w:val="28"/>
                <w:lang w:val="hr-HR"/>
              </w:rPr>
              <w:t>3</w:t>
            </w:r>
          </w:p>
        </w:tc>
        <w:tc>
          <w:tcPr>
            <w:tcW w:w="1071" w:type="pct"/>
            <w:tcBorders>
              <w:left w:val="nil"/>
              <w:right w:val="nil"/>
            </w:tcBorders>
            <w:shd w:val="clear" w:color="auto" w:fill="auto"/>
            <w:noWrap/>
            <w:vAlign w:val="center"/>
          </w:tcPr>
          <w:p w14:paraId="3354B4AB" w14:textId="3DE272D4"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–22</w:t>
            </w:r>
          </w:p>
        </w:tc>
        <w:tc>
          <w:tcPr>
            <w:tcW w:w="1071" w:type="pct"/>
            <w:tcBorders>
              <w:left w:val="nil"/>
              <w:right w:val="nil"/>
            </w:tcBorders>
            <w:vAlign w:val="center"/>
          </w:tcPr>
          <w:p w14:paraId="53A3BFEA" w14:textId="6EC069FF"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–45</w:t>
            </w:r>
          </w:p>
        </w:tc>
        <w:tc>
          <w:tcPr>
            <w:tcW w:w="1071" w:type="pct"/>
            <w:tcBorders>
              <w:left w:val="nil"/>
              <w:right w:val="nil"/>
            </w:tcBorders>
            <w:vAlign w:val="center"/>
          </w:tcPr>
          <w:p w14:paraId="4C064BE6" w14:textId="398E017C"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–23</w:t>
            </w:r>
          </w:p>
        </w:tc>
        <w:tc>
          <w:tcPr>
            <w:tcW w:w="1071" w:type="pct"/>
            <w:tcBorders>
              <w:left w:val="nil"/>
              <w:right w:val="nil"/>
            </w:tcBorders>
            <w:vAlign w:val="center"/>
          </w:tcPr>
          <w:p w14:paraId="289A92DE" w14:textId="06D42B7A"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0,78</w:t>
            </w:r>
          </w:p>
        </w:tc>
      </w:tr>
      <w:tr w:rsidR="00606224" w:rsidRPr="00225313" w14:paraId="6DB27B27" w14:textId="77777777" w:rsidTr="0034709D">
        <w:trPr>
          <w:trHeight w:val="288"/>
          <w:jc w:val="center"/>
        </w:trPr>
        <w:tc>
          <w:tcPr>
            <w:tcW w:w="715" w:type="pct"/>
            <w:tcBorders>
              <w:left w:val="nil"/>
              <w:right w:val="nil"/>
            </w:tcBorders>
            <w:shd w:val="clear" w:color="auto" w:fill="auto"/>
            <w:vAlign w:val="center"/>
          </w:tcPr>
          <w:p w14:paraId="3F392391" w14:textId="7C27F1C4" w:rsidR="00606224" w:rsidRPr="00225313" w:rsidRDefault="001B1ECC" w:rsidP="001B1ECC">
            <w:pPr>
              <w:jc w:val="center"/>
              <w:rPr>
                <w:b/>
                <w:color w:val="000000" w:themeColor="text1"/>
                <w:sz w:val="20"/>
                <w:szCs w:val="28"/>
                <w:lang w:val="hr-HR"/>
              </w:rPr>
            </w:pPr>
            <w:r w:rsidRPr="00225313">
              <w:rPr>
                <w:b/>
                <w:color w:val="000000" w:themeColor="text1"/>
                <w:sz w:val="20"/>
                <w:szCs w:val="28"/>
                <w:lang w:val="hr-HR"/>
              </w:rPr>
              <w:t>4</w:t>
            </w:r>
          </w:p>
        </w:tc>
        <w:tc>
          <w:tcPr>
            <w:tcW w:w="1071" w:type="pct"/>
            <w:tcBorders>
              <w:left w:val="nil"/>
              <w:right w:val="nil"/>
            </w:tcBorders>
            <w:shd w:val="clear" w:color="auto" w:fill="auto"/>
            <w:noWrap/>
            <w:vAlign w:val="center"/>
          </w:tcPr>
          <w:p w14:paraId="0E164C44" w14:textId="3A0624DE"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–23</w:t>
            </w:r>
          </w:p>
        </w:tc>
        <w:tc>
          <w:tcPr>
            <w:tcW w:w="1071" w:type="pct"/>
            <w:tcBorders>
              <w:left w:val="nil"/>
              <w:right w:val="nil"/>
            </w:tcBorders>
            <w:vAlign w:val="center"/>
          </w:tcPr>
          <w:p w14:paraId="08789756" w14:textId="7C8D5CC2"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–52</w:t>
            </w:r>
          </w:p>
        </w:tc>
        <w:tc>
          <w:tcPr>
            <w:tcW w:w="1071" w:type="pct"/>
            <w:tcBorders>
              <w:left w:val="nil"/>
              <w:right w:val="nil"/>
            </w:tcBorders>
            <w:vAlign w:val="center"/>
          </w:tcPr>
          <w:p w14:paraId="15526E6D" w14:textId="2D7CC5EF"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–29</w:t>
            </w:r>
          </w:p>
        </w:tc>
        <w:tc>
          <w:tcPr>
            <w:tcW w:w="1071" w:type="pct"/>
            <w:tcBorders>
              <w:left w:val="nil"/>
              <w:right w:val="nil"/>
            </w:tcBorders>
            <w:vAlign w:val="center"/>
          </w:tcPr>
          <w:p w14:paraId="1662F735" w14:textId="4C0BF6E6"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0,85</w:t>
            </w:r>
          </w:p>
        </w:tc>
      </w:tr>
      <w:tr w:rsidR="00606224" w:rsidRPr="00225313" w14:paraId="0B245A3F" w14:textId="77777777" w:rsidTr="0034709D">
        <w:trPr>
          <w:trHeight w:val="288"/>
          <w:jc w:val="center"/>
        </w:trPr>
        <w:tc>
          <w:tcPr>
            <w:tcW w:w="715" w:type="pct"/>
            <w:tcBorders>
              <w:left w:val="nil"/>
              <w:right w:val="nil"/>
            </w:tcBorders>
            <w:shd w:val="clear" w:color="auto" w:fill="auto"/>
            <w:vAlign w:val="center"/>
          </w:tcPr>
          <w:p w14:paraId="732B6B45" w14:textId="0A1AEC96" w:rsidR="00606224" w:rsidRPr="00225313" w:rsidRDefault="001B1ECC" w:rsidP="001B1ECC">
            <w:pPr>
              <w:jc w:val="center"/>
              <w:rPr>
                <w:b/>
                <w:color w:val="000000" w:themeColor="text1"/>
                <w:sz w:val="20"/>
                <w:szCs w:val="28"/>
                <w:lang w:val="hr-HR"/>
              </w:rPr>
            </w:pPr>
            <w:r w:rsidRPr="00225313">
              <w:rPr>
                <w:b/>
                <w:color w:val="000000" w:themeColor="text1"/>
                <w:sz w:val="20"/>
                <w:szCs w:val="28"/>
                <w:lang w:val="hr-HR"/>
              </w:rPr>
              <w:t>5</w:t>
            </w:r>
          </w:p>
        </w:tc>
        <w:tc>
          <w:tcPr>
            <w:tcW w:w="1071" w:type="pct"/>
            <w:tcBorders>
              <w:left w:val="nil"/>
              <w:right w:val="nil"/>
            </w:tcBorders>
            <w:shd w:val="clear" w:color="auto" w:fill="auto"/>
            <w:noWrap/>
            <w:vAlign w:val="center"/>
          </w:tcPr>
          <w:p w14:paraId="63BF29AE" w14:textId="7F9B59DC"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–24</w:t>
            </w:r>
          </w:p>
        </w:tc>
        <w:tc>
          <w:tcPr>
            <w:tcW w:w="1071" w:type="pct"/>
            <w:tcBorders>
              <w:left w:val="nil"/>
              <w:right w:val="nil"/>
            </w:tcBorders>
            <w:vAlign w:val="center"/>
          </w:tcPr>
          <w:p w14:paraId="37AEDC8A" w14:textId="06245AB0"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–51</w:t>
            </w:r>
          </w:p>
        </w:tc>
        <w:tc>
          <w:tcPr>
            <w:tcW w:w="1071" w:type="pct"/>
            <w:tcBorders>
              <w:left w:val="nil"/>
              <w:right w:val="nil"/>
            </w:tcBorders>
            <w:vAlign w:val="center"/>
          </w:tcPr>
          <w:p w14:paraId="4A4F7C4A" w14:textId="44A936E0"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–27</w:t>
            </w:r>
          </w:p>
        </w:tc>
        <w:tc>
          <w:tcPr>
            <w:tcW w:w="1071" w:type="pct"/>
            <w:tcBorders>
              <w:left w:val="nil"/>
              <w:right w:val="nil"/>
            </w:tcBorders>
            <w:vAlign w:val="center"/>
          </w:tcPr>
          <w:p w14:paraId="665FFAC6" w14:textId="1B6C01A1" w:rsidR="00606224" w:rsidRPr="00225313" w:rsidRDefault="001B1ECC" w:rsidP="00606224">
            <w:pPr>
              <w:jc w:val="center"/>
              <w:rPr>
                <w:color w:val="000000" w:themeColor="text1"/>
                <w:sz w:val="20"/>
                <w:szCs w:val="28"/>
                <w:lang w:val="hr-HR"/>
              </w:rPr>
            </w:pPr>
            <w:r w:rsidRPr="00225313">
              <w:rPr>
                <w:color w:val="000000" w:themeColor="text1"/>
                <w:sz w:val="20"/>
                <w:szCs w:val="28"/>
                <w:lang w:val="hr-HR"/>
              </w:rPr>
              <w:t>0,85</w:t>
            </w:r>
          </w:p>
        </w:tc>
      </w:tr>
    </w:tbl>
    <w:p w14:paraId="5F1634B7" w14:textId="77777777" w:rsidR="00D2406A" w:rsidRPr="00225313" w:rsidRDefault="00D2406A" w:rsidP="00D2406A">
      <w:pPr>
        <w:pStyle w:val="OCJENSKIRADOVIOdlomak3NASTAVAKODLOMKA"/>
        <w:sectPr w:rsidR="00D2406A" w:rsidRPr="00225313" w:rsidSect="00CF6BB4">
          <w:headerReference w:type="default" r:id="rId41"/>
          <w:pgSz w:w="11907" w:h="16840" w:code="9"/>
          <w:pgMar w:top="1701" w:right="1418" w:bottom="1701" w:left="1418" w:header="1134" w:footer="1134" w:gutter="0"/>
          <w:cols w:space="708"/>
          <w:docGrid w:linePitch="360"/>
        </w:sectPr>
      </w:pPr>
    </w:p>
    <w:p w14:paraId="0BF42349" w14:textId="5E6FFAD8" w:rsidR="00424536" w:rsidRPr="00225313" w:rsidRDefault="00424536" w:rsidP="00CA3BF9">
      <w:pPr>
        <w:pStyle w:val="OCJENSKIRADOVI1Naslovpoglavlja"/>
      </w:pPr>
      <w:bookmarkStart w:id="11" w:name="_Toc355955761"/>
      <w:bookmarkStart w:id="12" w:name="_Toc256085216"/>
      <w:bookmarkStart w:id="13" w:name="_Toc103335697"/>
      <w:r w:rsidRPr="00225313">
        <w:lastRenderedPageBreak/>
        <w:t>ZAKLJUČAK</w:t>
      </w:r>
      <w:bookmarkEnd w:id="11"/>
      <w:bookmarkEnd w:id="13"/>
    </w:p>
    <w:p w14:paraId="482EF52B" w14:textId="25BF1AD1" w:rsidR="00A40F6C" w:rsidRPr="00225313" w:rsidRDefault="00A40F6C" w:rsidP="00CA3BF9">
      <w:pPr>
        <w:pStyle w:val="OCJENSKIRADOVIOdlomak3NASTAVAKODLOMKA"/>
      </w:pPr>
      <w:r w:rsidRPr="00225313">
        <w:t>Iz svega je vidljivo da dizajn supramolekulskih receptora nije jednostavan. Vrlo često se promjenom određenog uvjeta poboljšava reakcijska entropija, dok entalpija postaje nepovoljnija. Znanstvenici trebaju imati na umu da teze koje mogu biti općeprihvaćene</w:t>
      </w:r>
      <w:r w:rsidR="00E13A92">
        <w:t>,</w:t>
      </w:r>
      <w:r w:rsidRPr="00225313">
        <w:t xml:space="preserve"> kao da ciklički receptor jače veže goste od linearnih</w:t>
      </w:r>
      <w:r w:rsidR="00E13A92">
        <w:t>,</w:t>
      </w:r>
      <w:r w:rsidRPr="00225313">
        <w:t xml:space="preserve"> </w:t>
      </w:r>
      <w:r w:rsidR="00E13A92" w:rsidRPr="00225313">
        <w:t>ni</w:t>
      </w:r>
      <w:r w:rsidR="00E13A92">
        <w:t>su</w:t>
      </w:r>
      <w:r w:rsidR="00E13A92" w:rsidRPr="00225313">
        <w:t xml:space="preserve"> </w:t>
      </w:r>
      <w:r w:rsidRPr="00225313">
        <w:t xml:space="preserve">uvijek </w:t>
      </w:r>
      <w:r w:rsidR="00E13A92" w:rsidRPr="00225313">
        <w:t>točn</w:t>
      </w:r>
      <w:r w:rsidR="00E13A92">
        <w:t>e</w:t>
      </w:r>
      <w:r w:rsidR="00E13A92" w:rsidRPr="00225313">
        <w:t xml:space="preserve"> </w:t>
      </w:r>
      <w:r w:rsidRPr="00225313">
        <w:t xml:space="preserve">jer poboljšanje jednog doprinosa može negativno utjecati na drugi, čime zapravo nije došlo do </w:t>
      </w:r>
      <w:r w:rsidR="00C45850">
        <w:t>povećanja</w:t>
      </w:r>
      <w:r w:rsidRPr="00225313">
        <w:t xml:space="preserve"> afiniteta. Osim toga</w:t>
      </w:r>
      <w:r w:rsidR="002D3E9D">
        <w:t>,</w:t>
      </w:r>
      <w:r w:rsidRPr="00225313">
        <w:t xml:space="preserve"> otapalo igra vrlo važnu ulogu u reakcijama kompleksiranja jer utječe posebno na receptor</w:t>
      </w:r>
      <w:r w:rsidR="002D3E9D">
        <w:t xml:space="preserve"> i</w:t>
      </w:r>
      <w:r w:rsidRPr="00225313">
        <w:t xml:space="preserve"> gosta</w:t>
      </w:r>
      <w:r w:rsidR="002D3E9D">
        <w:t>, a posljedično</w:t>
      </w:r>
      <w:r w:rsidRPr="00225313">
        <w:t xml:space="preserve"> i na nastali kompleks. Na kraju</w:t>
      </w:r>
      <w:r w:rsidR="00F50709" w:rsidRPr="00225313">
        <w:t xml:space="preserve">, </w:t>
      </w:r>
      <w:r w:rsidR="00C25D31">
        <w:t xml:space="preserve">posebnu pažnju </w:t>
      </w:r>
      <w:r w:rsidR="00F50709" w:rsidRPr="00225313">
        <w:t xml:space="preserve">treba </w:t>
      </w:r>
      <w:r w:rsidR="00C25D31">
        <w:t xml:space="preserve">posvetiti efektu </w:t>
      </w:r>
      <w:r w:rsidR="00F50709" w:rsidRPr="00225313">
        <w:t>kooperativnost</w:t>
      </w:r>
      <w:r w:rsidR="00C25D31">
        <w:t>i</w:t>
      </w:r>
      <w:r w:rsidR="00F50709" w:rsidRPr="00225313">
        <w:t xml:space="preserve"> </w:t>
      </w:r>
      <w:r w:rsidR="00C25D31">
        <w:t xml:space="preserve">prilikom </w:t>
      </w:r>
      <w:r w:rsidR="003F329F" w:rsidRPr="00225313">
        <w:t>vezanja ligan</w:t>
      </w:r>
      <w:r w:rsidR="002D47DB">
        <w:t>a</w:t>
      </w:r>
      <w:r w:rsidR="003F329F" w:rsidRPr="00225313">
        <w:t>da te da ta kooperativnost može imati entalpijski povoljan efekt, ali najčešće dolazi s entropijski nepovoljnim doprinosom stabilnosti kompleksa.</w:t>
      </w:r>
    </w:p>
    <w:p w14:paraId="1FE27E4B" w14:textId="77777777" w:rsidR="00F50709" w:rsidRPr="00225313" w:rsidRDefault="00F50709" w:rsidP="00CA3BF9">
      <w:pPr>
        <w:pStyle w:val="OCJENSKIRADOVIOdlomak3NASTAVAKODLOMKA"/>
      </w:pPr>
    </w:p>
    <w:p w14:paraId="44BFAD13" w14:textId="77777777" w:rsidR="00F50709" w:rsidRPr="00225313" w:rsidRDefault="00F50709" w:rsidP="00CA3BF9">
      <w:pPr>
        <w:pStyle w:val="OCJENSKIRADOVIOdlomak3NASTAVAKODLOMKA"/>
      </w:pPr>
    </w:p>
    <w:p w14:paraId="03733765" w14:textId="4F13C6D5" w:rsidR="00F50709" w:rsidRPr="00225313" w:rsidRDefault="00F50709" w:rsidP="00CA3BF9">
      <w:pPr>
        <w:pStyle w:val="OCJENSKIRADOVIOdlomak3NASTAVAKODLOMKA"/>
        <w:sectPr w:rsidR="00F50709" w:rsidRPr="00225313" w:rsidSect="00CF6BB4">
          <w:headerReference w:type="default" r:id="rId42"/>
          <w:pgSz w:w="11907" w:h="16840" w:code="9"/>
          <w:pgMar w:top="1701" w:right="1418" w:bottom="1701" w:left="1418" w:header="1134" w:footer="1134" w:gutter="0"/>
          <w:cols w:space="708"/>
          <w:docGrid w:linePitch="360"/>
        </w:sectPr>
      </w:pPr>
    </w:p>
    <w:p w14:paraId="5B0A3AB4" w14:textId="287A326F" w:rsidR="00424536" w:rsidRPr="00225313" w:rsidRDefault="00424536" w:rsidP="00070565">
      <w:pPr>
        <w:pStyle w:val="OCJENSKIRADOVI1Naslovpoglavlja"/>
      </w:pPr>
      <w:bookmarkStart w:id="14" w:name="_Toc355955763"/>
      <w:bookmarkStart w:id="15" w:name="_Toc103335698"/>
      <w:r w:rsidRPr="00225313">
        <w:lastRenderedPageBreak/>
        <w:t>LITERATURNI IZVORI</w:t>
      </w:r>
      <w:bookmarkEnd w:id="12"/>
      <w:bookmarkEnd w:id="14"/>
      <w:bookmarkEnd w:id="15"/>
    </w:p>
    <w:p w14:paraId="014E9332" w14:textId="28A99843" w:rsidR="002C097A" w:rsidRDefault="00D8325B" w:rsidP="00876C54">
      <w:pPr>
        <w:pStyle w:val="OCJENSKIRADOVIReferencija"/>
        <w:jc w:val="both"/>
        <w:rPr>
          <w:sz w:val="24"/>
          <w:szCs w:val="24"/>
        </w:rPr>
      </w:pPr>
      <w:r w:rsidRPr="00225313">
        <w:rPr>
          <w:sz w:val="24"/>
          <w:szCs w:val="24"/>
        </w:rPr>
        <w:t xml:space="preserve">Y. Zhao, </w:t>
      </w:r>
      <w:r w:rsidRPr="00225313">
        <w:rPr>
          <w:i/>
          <w:sz w:val="24"/>
          <w:szCs w:val="24"/>
        </w:rPr>
        <w:t>ChemPhysChem</w:t>
      </w:r>
      <w:r w:rsidRPr="00225313">
        <w:rPr>
          <w:sz w:val="24"/>
          <w:szCs w:val="24"/>
        </w:rPr>
        <w:t xml:space="preserve"> </w:t>
      </w:r>
      <w:r w:rsidRPr="00225313">
        <w:rPr>
          <w:b/>
          <w:sz w:val="24"/>
          <w:szCs w:val="24"/>
        </w:rPr>
        <w:t>14</w:t>
      </w:r>
      <w:r w:rsidRPr="00225313">
        <w:rPr>
          <w:sz w:val="24"/>
          <w:szCs w:val="24"/>
        </w:rPr>
        <w:t xml:space="preserve"> (2013) 3878–3885.</w:t>
      </w:r>
    </w:p>
    <w:p w14:paraId="0D42FF2F" w14:textId="21C7E899" w:rsidR="00876C54" w:rsidRDefault="00876C54" w:rsidP="00876C54">
      <w:pPr>
        <w:pStyle w:val="OCJENSKIRADOVIReferencija"/>
        <w:jc w:val="both"/>
        <w:rPr>
          <w:sz w:val="24"/>
          <w:szCs w:val="24"/>
        </w:rPr>
      </w:pPr>
      <w:r w:rsidRPr="00876C54">
        <w:rPr>
          <w:sz w:val="24"/>
          <w:szCs w:val="24"/>
        </w:rPr>
        <w:t>P</w:t>
      </w:r>
      <w:r>
        <w:rPr>
          <w:sz w:val="24"/>
          <w:szCs w:val="24"/>
        </w:rPr>
        <w:t>.</w:t>
      </w:r>
      <w:r w:rsidRPr="00876C54">
        <w:rPr>
          <w:sz w:val="24"/>
          <w:szCs w:val="24"/>
        </w:rPr>
        <w:t xml:space="preserve"> D. Beer</w:t>
      </w:r>
      <w:r>
        <w:rPr>
          <w:sz w:val="24"/>
          <w:szCs w:val="24"/>
        </w:rPr>
        <w:t>,</w:t>
      </w:r>
      <w:r w:rsidRPr="00876C54">
        <w:rPr>
          <w:sz w:val="24"/>
          <w:szCs w:val="24"/>
        </w:rPr>
        <w:t xml:space="preserve"> P</w:t>
      </w:r>
      <w:r>
        <w:rPr>
          <w:sz w:val="24"/>
          <w:szCs w:val="24"/>
        </w:rPr>
        <w:t>.</w:t>
      </w:r>
      <w:r w:rsidRPr="00876C54">
        <w:rPr>
          <w:sz w:val="24"/>
          <w:szCs w:val="24"/>
        </w:rPr>
        <w:t xml:space="preserve"> A. Gal</w:t>
      </w:r>
      <w:r>
        <w:rPr>
          <w:sz w:val="24"/>
          <w:szCs w:val="24"/>
        </w:rPr>
        <w:t xml:space="preserve">, </w:t>
      </w:r>
      <w:r w:rsidRPr="00876C54">
        <w:rPr>
          <w:i/>
          <w:sz w:val="24"/>
          <w:szCs w:val="24"/>
        </w:rPr>
        <w:t>Angew. Chem. Int. Ed.</w:t>
      </w:r>
      <w:r w:rsidRPr="00876C54">
        <w:rPr>
          <w:sz w:val="24"/>
          <w:szCs w:val="24"/>
        </w:rPr>
        <w:t xml:space="preserve"> </w:t>
      </w:r>
      <w:r w:rsidRPr="00876C54">
        <w:rPr>
          <w:b/>
          <w:sz w:val="24"/>
          <w:szCs w:val="24"/>
        </w:rPr>
        <w:t>40</w:t>
      </w:r>
      <w:r>
        <w:rPr>
          <w:sz w:val="24"/>
          <w:szCs w:val="24"/>
        </w:rPr>
        <w:t xml:space="preserve"> (</w:t>
      </w:r>
      <w:r w:rsidRPr="00876C54">
        <w:rPr>
          <w:sz w:val="24"/>
          <w:szCs w:val="24"/>
        </w:rPr>
        <w:t>2001</w:t>
      </w:r>
      <w:r>
        <w:rPr>
          <w:sz w:val="24"/>
          <w:szCs w:val="24"/>
        </w:rPr>
        <w:t>)</w:t>
      </w:r>
      <w:r w:rsidRPr="00876C54">
        <w:rPr>
          <w:sz w:val="24"/>
          <w:szCs w:val="24"/>
        </w:rPr>
        <w:t xml:space="preserve"> 486</w:t>
      </w:r>
      <w:r>
        <w:rPr>
          <w:sz w:val="24"/>
          <w:szCs w:val="24"/>
        </w:rPr>
        <w:t>–</w:t>
      </w:r>
      <w:r w:rsidRPr="00876C54">
        <w:rPr>
          <w:sz w:val="24"/>
          <w:szCs w:val="24"/>
        </w:rPr>
        <w:t>516</w:t>
      </w:r>
      <w:r>
        <w:rPr>
          <w:sz w:val="24"/>
          <w:szCs w:val="24"/>
        </w:rPr>
        <w:t>.</w:t>
      </w:r>
    </w:p>
    <w:p w14:paraId="415E85D0" w14:textId="50ADD7EE" w:rsidR="00876C54" w:rsidRPr="00876C54" w:rsidRDefault="00876C54" w:rsidP="00876C54">
      <w:pPr>
        <w:pStyle w:val="OCJENSKIRADOVIReferencija"/>
        <w:rPr>
          <w:sz w:val="24"/>
          <w:szCs w:val="24"/>
        </w:rPr>
      </w:pPr>
      <w:r w:rsidRPr="00876C54">
        <w:rPr>
          <w:sz w:val="24"/>
          <w:szCs w:val="24"/>
        </w:rPr>
        <w:t>Q</w:t>
      </w:r>
      <w:r>
        <w:rPr>
          <w:sz w:val="24"/>
          <w:szCs w:val="24"/>
        </w:rPr>
        <w:t>.</w:t>
      </w:r>
      <w:r w:rsidRPr="00876C54">
        <w:rPr>
          <w:sz w:val="24"/>
          <w:szCs w:val="24"/>
        </w:rPr>
        <w:t xml:space="preserve"> He, G</w:t>
      </w:r>
      <w:r>
        <w:rPr>
          <w:sz w:val="24"/>
          <w:szCs w:val="24"/>
        </w:rPr>
        <w:t>.</w:t>
      </w:r>
      <w:r w:rsidRPr="00876C54">
        <w:rPr>
          <w:sz w:val="24"/>
          <w:szCs w:val="24"/>
        </w:rPr>
        <w:t xml:space="preserve"> I. Vargas-Zuniga, S</w:t>
      </w:r>
      <w:r>
        <w:rPr>
          <w:sz w:val="24"/>
          <w:szCs w:val="24"/>
        </w:rPr>
        <w:t>.</w:t>
      </w:r>
      <w:r w:rsidRPr="00876C54">
        <w:rPr>
          <w:sz w:val="24"/>
          <w:szCs w:val="24"/>
        </w:rPr>
        <w:t xml:space="preserve"> H</w:t>
      </w:r>
      <w:r>
        <w:rPr>
          <w:sz w:val="24"/>
          <w:szCs w:val="24"/>
        </w:rPr>
        <w:t>.</w:t>
      </w:r>
      <w:r w:rsidRPr="00876C54">
        <w:rPr>
          <w:sz w:val="24"/>
          <w:szCs w:val="24"/>
        </w:rPr>
        <w:t xml:space="preserve"> Kim, S</w:t>
      </w:r>
      <w:r>
        <w:rPr>
          <w:sz w:val="24"/>
          <w:szCs w:val="24"/>
        </w:rPr>
        <w:t>.</w:t>
      </w:r>
      <w:r w:rsidRPr="00876C54">
        <w:rPr>
          <w:sz w:val="24"/>
          <w:szCs w:val="24"/>
        </w:rPr>
        <w:t xml:space="preserve"> K</w:t>
      </w:r>
      <w:r>
        <w:rPr>
          <w:sz w:val="24"/>
          <w:szCs w:val="24"/>
        </w:rPr>
        <w:t>.</w:t>
      </w:r>
      <w:r w:rsidRPr="00876C54">
        <w:rPr>
          <w:sz w:val="24"/>
          <w:szCs w:val="24"/>
        </w:rPr>
        <w:t xml:space="preserve"> Kim, J</w:t>
      </w:r>
      <w:r>
        <w:rPr>
          <w:sz w:val="24"/>
          <w:szCs w:val="24"/>
        </w:rPr>
        <w:t>.</w:t>
      </w:r>
      <w:r w:rsidRPr="00876C54">
        <w:rPr>
          <w:sz w:val="24"/>
          <w:szCs w:val="24"/>
        </w:rPr>
        <w:t xml:space="preserve"> L. Sessler</w:t>
      </w:r>
      <w:r>
        <w:rPr>
          <w:sz w:val="24"/>
          <w:szCs w:val="24"/>
        </w:rPr>
        <w:t xml:space="preserve">, </w:t>
      </w:r>
      <w:r w:rsidRPr="00876C54">
        <w:rPr>
          <w:i/>
          <w:sz w:val="24"/>
          <w:szCs w:val="24"/>
        </w:rPr>
        <w:t>Chem. Rev.</w:t>
      </w:r>
      <w:r w:rsidRPr="00876C54">
        <w:rPr>
          <w:sz w:val="24"/>
          <w:szCs w:val="24"/>
        </w:rPr>
        <w:t xml:space="preserve"> </w:t>
      </w:r>
      <w:r w:rsidRPr="00876C54">
        <w:rPr>
          <w:b/>
          <w:sz w:val="24"/>
          <w:szCs w:val="24"/>
        </w:rPr>
        <w:t>119</w:t>
      </w:r>
      <w:r>
        <w:rPr>
          <w:sz w:val="24"/>
          <w:szCs w:val="24"/>
        </w:rPr>
        <w:t xml:space="preserve"> (</w:t>
      </w:r>
      <w:r w:rsidRPr="00876C54">
        <w:rPr>
          <w:sz w:val="24"/>
          <w:szCs w:val="24"/>
        </w:rPr>
        <w:t>2019</w:t>
      </w:r>
      <w:r>
        <w:rPr>
          <w:sz w:val="24"/>
          <w:szCs w:val="24"/>
        </w:rPr>
        <w:t>)</w:t>
      </w:r>
      <w:r w:rsidRPr="00876C54">
        <w:rPr>
          <w:sz w:val="24"/>
          <w:szCs w:val="24"/>
        </w:rPr>
        <w:t xml:space="preserve">  9753–9835</w:t>
      </w:r>
      <w:r>
        <w:rPr>
          <w:sz w:val="24"/>
          <w:szCs w:val="24"/>
        </w:rPr>
        <w:t>.</w:t>
      </w:r>
    </w:p>
    <w:p w14:paraId="053E2358" w14:textId="607CA2F2" w:rsidR="00D8325B" w:rsidRPr="00225313" w:rsidRDefault="00D8325B" w:rsidP="00606224">
      <w:pPr>
        <w:pStyle w:val="OCJENSKIRADOVIReferencija"/>
        <w:jc w:val="both"/>
        <w:rPr>
          <w:sz w:val="24"/>
          <w:szCs w:val="24"/>
        </w:rPr>
      </w:pPr>
      <w:r w:rsidRPr="00225313">
        <w:rPr>
          <w:sz w:val="24"/>
          <w:szCs w:val="24"/>
        </w:rPr>
        <w:t>T. Fiehn, R. Goddard, R. W. Seidel, S. Kubik,</w:t>
      </w:r>
      <w:r w:rsidR="00424536" w:rsidRPr="00225313">
        <w:rPr>
          <w:sz w:val="24"/>
          <w:szCs w:val="24"/>
        </w:rPr>
        <w:t xml:space="preserve"> </w:t>
      </w:r>
      <w:r w:rsidRPr="00225313">
        <w:rPr>
          <w:i/>
          <w:iCs/>
          <w:sz w:val="24"/>
          <w:szCs w:val="24"/>
        </w:rPr>
        <w:t>Chem. Eur. J.</w:t>
      </w:r>
      <w:r w:rsidRPr="00225313">
        <w:rPr>
          <w:iCs/>
          <w:sz w:val="24"/>
          <w:szCs w:val="24"/>
        </w:rPr>
        <w:t xml:space="preserve"> </w:t>
      </w:r>
      <w:r w:rsidRPr="00225313">
        <w:rPr>
          <w:b/>
          <w:iCs/>
          <w:sz w:val="24"/>
          <w:szCs w:val="24"/>
        </w:rPr>
        <w:t>16</w:t>
      </w:r>
      <w:r w:rsidRPr="00225313">
        <w:rPr>
          <w:iCs/>
          <w:sz w:val="24"/>
          <w:szCs w:val="24"/>
        </w:rPr>
        <w:t xml:space="preserve"> (2010) 7241–7255.</w:t>
      </w:r>
    </w:p>
    <w:p w14:paraId="12C660AE" w14:textId="4FD1BCF0" w:rsidR="00625968" w:rsidRPr="00225313" w:rsidRDefault="00625968" w:rsidP="0002113C">
      <w:pPr>
        <w:pStyle w:val="OCJENSKIRADOVIReferencija"/>
        <w:jc w:val="both"/>
        <w:rPr>
          <w:sz w:val="24"/>
          <w:szCs w:val="24"/>
        </w:rPr>
      </w:pPr>
      <w:r w:rsidRPr="00225313">
        <w:rPr>
          <w:sz w:val="24"/>
          <w:szCs w:val="24"/>
        </w:rPr>
        <w:t>A</w:t>
      </w:r>
      <w:r w:rsidR="00DD0E16" w:rsidRPr="00225313">
        <w:rPr>
          <w:sz w:val="24"/>
          <w:szCs w:val="24"/>
        </w:rPr>
        <w:t>.</w:t>
      </w:r>
      <w:r w:rsidRPr="00225313">
        <w:rPr>
          <w:sz w:val="24"/>
          <w:szCs w:val="24"/>
        </w:rPr>
        <w:t xml:space="preserve"> F. Danil de Namor, I</w:t>
      </w:r>
      <w:r w:rsidR="00DD0E16" w:rsidRPr="00225313">
        <w:rPr>
          <w:sz w:val="24"/>
          <w:szCs w:val="24"/>
        </w:rPr>
        <w:t>.</w:t>
      </w:r>
      <w:r w:rsidRPr="00225313">
        <w:rPr>
          <w:sz w:val="24"/>
          <w:szCs w:val="24"/>
        </w:rPr>
        <w:t xml:space="preserve"> Abbas, H</w:t>
      </w:r>
      <w:r w:rsidR="00DD0E16" w:rsidRPr="00225313">
        <w:rPr>
          <w:sz w:val="24"/>
          <w:szCs w:val="24"/>
        </w:rPr>
        <w:t>.</w:t>
      </w:r>
      <w:r w:rsidRPr="00225313">
        <w:rPr>
          <w:sz w:val="24"/>
          <w:szCs w:val="24"/>
        </w:rPr>
        <w:t xml:space="preserve"> H. Hammud</w:t>
      </w:r>
      <w:r w:rsidR="00DD0E16" w:rsidRPr="00225313">
        <w:rPr>
          <w:sz w:val="24"/>
          <w:szCs w:val="24"/>
        </w:rPr>
        <w:t xml:space="preserve">, </w:t>
      </w:r>
      <w:r w:rsidR="00DD0E16" w:rsidRPr="00225313">
        <w:rPr>
          <w:i/>
          <w:sz w:val="24"/>
          <w:szCs w:val="24"/>
        </w:rPr>
        <w:t>J. Phys. Chem. B</w:t>
      </w:r>
      <w:r w:rsidR="00DD0E16" w:rsidRPr="00225313">
        <w:rPr>
          <w:sz w:val="24"/>
          <w:szCs w:val="24"/>
        </w:rPr>
        <w:t xml:space="preserve"> </w:t>
      </w:r>
      <w:r w:rsidR="00DD0E16" w:rsidRPr="00225313">
        <w:rPr>
          <w:b/>
          <w:sz w:val="24"/>
          <w:szCs w:val="24"/>
        </w:rPr>
        <w:t>110</w:t>
      </w:r>
      <w:r w:rsidR="00DD0E16" w:rsidRPr="00225313">
        <w:rPr>
          <w:sz w:val="24"/>
          <w:szCs w:val="24"/>
        </w:rPr>
        <w:t xml:space="preserve"> 2006 2142–2149.</w:t>
      </w:r>
    </w:p>
    <w:p w14:paraId="15106616" w14:textId="22DAED53" w:rsidR="00424536" w:rsidRPr="00225313" w:rsidRDefault="00DD0E16" w:rsidP="0002113C">
      <w:pPr>
        <w:pStyle w:val="OCJENSKIRADOVIReferencija"/>
        <w:jc w:val="both"/>
        <w:rPr>
          <w:sz w:val="24"/>
          <w:szCs w:val="24"/>
        </w:rPr>
      </w:pPr>
      <w:r w:rsidRPr="00225313">
        <w:rPr>
          <w:sz w:val="24"/>
          <w:szCs w:val="24"/>
        </w:rPr>
        <w:t xml:space="preserve">S. F. Martin, J. H. Clements, </w:t>
      </w:r>
      <w:r w:rsidRPr="00225313">
        <w:rPr>
          <w:i/>
          <w:sz w:val="24"/>
          <w:szCs w:val="24"/>
        </w:rPr>
        <w:t>Annu. Rev. Biochem.</w:t>
      </w:r>
      <w:r w:rsidRPr="00225313">
        <w:rPr>
          <w:sz w:val="24"/>
          <w:szCs w:val="24"/>
        </w:rPr>
        <w:t xml:space="preserve"> </w:t>
      </w:r>
      <w:r w:rsidRPr="00225313">
        <w:rPr>
          <w:b/>
          <w:sz w:val="24"/>
          <w:szCs w:val="24"/>
        </w:rPr>
        <w:t>82</w:t>
      </w:r>
      <w:r w:rsidRPr="00225313">
        <w:rPr>
          <w:sz w:val="24"/>
          <w:szCs w:val="24"/>
        </w:rPr>
        <w:t xml:space="preserve"> (2013) 267–93.</w:t>
      </w:r>
    </w:p>
    <w:p w14:paraId="5B5849BE" w14:textId="51F8760A" w:rsidR="009565CB" w:rsidRPr="00225313" w:rsidRDefault="009565CB" w:rsidP="009565CB">
      <w:pPr>
        <w:pStyle w:val="OCJENSKIRADOVIReferencija"/>
        <w:rPr>
          <w:sz w:val="24"/>
          <w:szCs w:val="24"/>
          <w:lang w:eastAsia="hr-HR"/>
        </w:rPr>
      </w:pPr>
      <w:r w:rsidRPr="00225313">
        <w:rPr>
          <w:sz w:val="24"/>
          <w:szCs w:val="24"/>
          <w:lang w:eastAsia="hr-HR"/>
        </w:rPr>
        <w:t>J. Požar, I. Nikšić-Franjić, M. Cvetnić, K. Leko, N. Cindro, K. Pičuljan, I. Borilović, L. Frkanec, V. Tomišić,</w:t>
      </w:r>
      <w:r w:rsidRPr="00225313">
        <w:rPr>
          <w:i/>
          <w:sz w:val="24"/>
          <w:szCs w:val="24"/>
          <w:lang w:eastAsia="hr-HR"/>
        </w:rPr>
        <w:t xml:space="preserve"> J. Phys. Chem. B </w:t>
      </w:r>
      <w:r w:rsidR="00A71799" w:rsidRPr="00225313">
        <w:rPr>
          <w:b/>
          <w:sz w:val="24"/>
          <w:szCs w:val="24"/>
          <w:lang w:eastAsia="hr-HR"/>
        </w:rPr>
        <w:t>121</w:t>
      </w:r>
      <w:r w:rsidR="00A71799" w:rsidRPr="00225313">
        <w:rPr>
          <w:sz w:val="24"/>
          <w:szCs w:val="24"/>
          <w:lang w:eastAsia="hr-HR"/>
        </w:rPr>
        <w:t xml:space="preserve"> (2017) 8539–8550.</w:t>
      </w:r>
    </w:p>
    <w:p w14:paraId="1282DD67" w14:textId="5710B5F9" w:rsidR="00424536" w:rsidRPr="00225313" w:rsidRDefault="00EE380E" w:rsidP="00EE380E">
      <w:pPr>
        <w:pStyle w:val="OCJENSKIRADOVIReferencija"/>
        <w:rPr>
          <w:sz w:val="24"/>
          <w:szCs w:val="24"/>
          <w:lang w:eastAsia="hr-HR"/>
        </w:rPr>
      </w:pPr>
      <w:r w:rsidRPr="00225313">
        <w:rPr>
          <w:sz w:val="24"/>
          <w:szCs w:val="24"/>
          <w:lang w:eastAsia="hr-HR"/>
        </w:rPr>
        <w:t xml:space="preserve">G. Horvat, L. Frkanec, N. Cindro, V. Tomišić, </w:t>
      </w:r>
      <w:r w:rsidRPr="00225313">
        <w:rPr>
          <w:i/>
          <w:sz w:val="24"/>
          <w:szCs w:val="24"/>
          <w:lang w:eastAsia="hr-HR"/>
        </w:rPr>
        <w:t>Phys. Chem. Chem. Phys.</w:t>
      </w:r>
      <w:r w:rsidRPr="00225313">
        <w:rPr>
          <w:sz w:val="24"/>
          <w:szCs w:val="24"/>
          <w:lang w:eastAsia="hr-HR"/>
        </w:rPr>
        <w:t xml:space="preserve"> </w:t>
      </w:r>
      <w:r w:rsidRPr="00225313">
        <w:rPr>
          <w:b/>
          <w:sz w:val="24"/>
          <w:szCs w:val="24"/>
          <w:lang w:eastAsia="hr-HR"/>
        </w:rPr>
        <w:t>19</w:t>
      </w:r>
      <w:r w:rsidRPr="00225313">
        <w:rPr>
          <w:sz w:val="24"/>
          <w:szCs w:val="24"/>
          <w:lang w:eastAsia="hr-HR"/>
        </w:rPr>
        <w:t xml:space="preserve"> (2017) 24316–24329.</w:t>
      </w:r>
    </w:p>
    <w:p w14:paraId="41746D8B" w14:textId="3C2C8176" w:rsidR="00424536" w:rsidRPr="00225313" w:rsidRDefault="00EE380E" w:rsidP="00EE380E">
      <w:pPr>
        <w:pStyle w:val="OCJENSKIRADOVIReferencija"/>
        <w:rPr>
          <w:sz w:val="24"/>
          <w:szCs w:val="24"/>
          <w:lang w:eastAsia="hr-HR"/>
        </w:rPr>
      </w:pPr>
      <w:r w:rsidRPr="00225313">
        <w:rPr>
          <w:sz w:val="24"/>
          <w:szCs w:val="24"/>
          <w:lang w:eastAsia="hr-HR"/>
        </w:rPr>
        <w:t xml:space="preserve">G. Horvat, S. Tarana, N. Vidović, N. Cindro, G. Speranza, V. Tomišić, </w:t>
      </w:r>
      <w:r w:rsidRPr="00225313">
        <w:rPr>
          <w:i/>
          <w:sz w:val="24"/>
          <w:szCs w:val="24"/>
          <w:lang w:eastAsia="hr-HR"/>
        </w:rPr>
        <w:t>J. Mol. Liq.</w:t>
      </w:r>
      <w:r w:rsidRPr="00225313">
        <w:rPr>
          <w:sz w:val="24"/>
          <w:szCs w:val="24"/>
          <w:lang w:eastAsia="hr-HR"/>
        </w:rPr>
        <w:t xml:space="preserve"> </w:t>
      </w:r>
      <w:r w:rsidRPr="00225313">
        <w:rPr>
          <w:b/>
          <w:sz w:val="24"/>
          <w:szCs w:val="24"/>
          <w:lang w:eastAsia="hr-HR"/>
        </w:rPr>
        <w:t>350</w:t>
      </w:r>
      <w:r w:rsidR="009F04C3" w:rsidRPr="00225313">
        <w:rPr>
          <w:sz w:val="24"/>
          <w:szCs w:val="24"/>
          <w:lang w:eastAsia="hr-HR"/>
        </w:rPr>
        <w:t xml:space="preserve"> </w:t>
      </w:r>
      <w:r w:rsidRPr="00225313">
        <w:rPr>
          <w:sz w:val="24"/>
          <w:szCs w:val="24"/>
          <w:lang w:eastAsia="hr-HR"/>
        </w:rPr>
        <w:t>(2021) 116848</w:t>
      </w:r>
      <w:r w:rsidR="009F04C3" w:rsidRPr="00225313">
        <w:rPr>
          <w:sz w:val="24"/>
          <w:szCs w:val="24"/>
          <w:lang w:eastAsia="hr-HR"/>
        </w:rPr>
        <w:t>.</w:t>
      </w:r>
    </w:p>
    <w:p w14:paraId="2A9B3F05" w14:textId="6A6AB464" w:rsidR="00424536" w:rsidRPr="00225313" w:rsidRDefault="00606A30" w:rsidP="00013B9F">
      <w:pPr>
        <w:pStyle w:val="OCJENSKIRADOVIReferencija"/>
        <w:jc w:val="both"/>
        <w:rPr>
          <w:sz w:val="24"/>
          <w:szCs w:val="24"/>
        </w:rPr>
      </w:pPr>
      <w:r w:rsidRPr="00225313">
        <w:rPr>
          <w:sz w:val="24"/>
          <w:szCs w:val="24"/>
        </w:rPr>
        <w:t xml:space="preserve">T. Burchard, P. Firman, H. Schneider, B. G. Cox, </w:t>
      </w:r>
      <w:r w:rsidRPr="00225313">
        <w:rPr>
          <w:i/>
          <w:sz w:val="24"/>
          <w:szCs w:val="24"/>
        </w:rPr>
        <w:t>Ber. Bunsenges. Phys. Chem.</w:t>
      </w:r>
      <w:r w:rsidRPr="00225313">
        <w:rPr>
          <w:sz w:val="24"/>
          <w:szCs w:val="24"/>
        </w:rPr>
        <w:t xml:space="preserve"> </w:t>
      </w:r>
      <w:r w:rsidRPr="00225313">
        <w:rPr>
          <w:b/>
          <w:sz w:val="24"/>
          <w:szCs w:val="24"/>
        </w:rPr>
        <w:t>98</w:t>
      </w:r>
      <w:r w:rsidRPr="00225313">
        <w:rPr>
          <w:sz w:val="24"/>
          <w:szCs w:val="24"/>
        </w:rPr>
        <w:t xml:space="preserve"> (1994) 1534–1540. </w:t>
      </w:r>
    </w:p>
    <w:p w14:paraId="1F1017AF" w14:textId="2FD7A2EF" w:rsidR="00D360E4" w:rsidRPr="00225313" w:rsidRDefault="00606A30" w:rsidP="00D360E4">
      <w:pPr>
        <w:pStyle w:val="OCJENSKIRADOVIReferencija"/>
        <w:rPr>
          <w:sz w:val="24"/>
          <w:szCs w:val="24"/>
        </w:rPr>
      </w:pPr>
      <w:r w:rsidRPr="00225313">
        <w:t>Y</w:t>
      </w:r>
      <w:r w:rsidR="00D360E4" w:rsidRPr="00225313">
        <w:t xml:space="preserve">. </w:t>
      </w:r>
      <w:r w:rsidRPr="00225313">
        <w:t>Takeda</w:t>
      </w:r>
      <w:r w:rsidR="00D360E4" w:rsidRPr="00225313">
        <w:t xml:space="preserve">, </w:t>
      </w:r>
      <w:r w:rsidRPr="00225313">
        <w:t>T</w:t>
      </w:r>
      <w:r w:rsidR="00D360E4" w:rsidRPr="00225313">
        <w:t xml:space="preserve">. </w:t>
      </w:r>
      <w:r w:rsidRPr="00225313">
        <w:t>Watanabe</w:t>
      </w:r>
      <w:r w:rsidR="00D360E4" w:rsidRPr="00225313">
        <w:t xml:space="preserve">, </w:t>
      </w:r>
      <w:r w:rsidRPr="00225313">
        <w:t>H</w:t>
      </w:r>
      <w:r w:rsidR="00D360E4" w:rsidRPr="00225313">
        <w:t xml:space="preserve">. </w:t>
      </w:r>
      <w:r w:rsidRPr="00225313">
        <w:t>Yamada</w:t>
      </w:r>
      <w:r w:rsidR="00D360E4" w:rsidRPr="00225313">
        <w:t xml:space="preserve">, </w:t>
      </w:r>
      <w:r w:rsidRPr="00225313">
        <w:t>S</w:t>
      </w:r>
      <w:r w:rsidR="00D360E4" w:rsidRPr="00225313">
        <w:t xml:space="preserve">. </w:t>
      </w:r>
      <w:r w:rsidRPr="00225313">
        <w:t>Katsuta</w:t>
      </w:r>
      <w:r w:rsidR="00D360E4" w:rsidRPr="00225313">
        <w:t xml:space="preserve">, </w:t>
      </w:r>
      <w:r w:rsidR="00D360E4" w:rsidRPr="00225313">
        <w:rPr>
          <w:i/>
          <w:sz w:val="24"/>
          <w:szCs w:val="24"/>
        </w:rPr>
        <w:t>J. Mol. Liq.</w:t>
      </w:r>
      <w:r w:rsidR="00D360E4" w:rsidRPr="00225313">
        <w:rPr>
          <w:sz w:val="24"/>
          <w:szCs w:val="24"/>
        </w:rPr>
        <w:t xml:space="preserve"> </w:t>
      </w:r>
      <w:r w:rsidR="00D360E4" w:rsidRPr="00225313">
        <w:rPr>
          <w:b/>
          <w:sz w:val="24"/>
          <w:szCs w:val="24"/>
        </w:rPr>
        <w:t>108</w:t>
      </w:r>
      <w:r w:rsidR="00D360E4" w:rsidRPr="00225313">
        <w:rPr>
          <w:sz w:val="24"/>
          <w:szCs w:val="24"/>
        </w:rPr>
        <w:t xml:space="preserve"> (2003) 151–173.</w:t>
      </w:r>
    </w:p>
    <w:p w14:paraId="20CD6E45" w14:textId="4A69AB95" w:rsidR="00424536" w:rsidRPr="00225313" w:rsidRDefault="00D360E4" w:rsidP="00013B9F">
      <w:pPr>
        <w:pStyle w:val="OCJENSKIRADOVIReferencija"/>
        <w:jc w:val="both"/>
        <w:rPr>
          <w:sz w:val="24"/>
          <w:szCs w:val="24"/>
        </w:rPr>
      </w:pPr>
      <w:r w:rsidRPr="00225313">
        <w:rPr>
          <w:sz w:val="24"/>
          <w:szCs w:val="24"/>
        </w:rPr>
        <w:t xml:space="preserve">A. F. Danil de Namor, S. Chahine, </w:t>
      </w:r>
      <w:r w:rsidRPr="00225313">
        <w:rPr>
          <w:i/>
          <w:sz w:val="24"/>
          <w:szCs w:val="24"/>
        </w:rPr>
        <w:t>J. Phys. Chem. B</w:t>
      </w:r>
      <w:r w:rsidRPr="00225313">
        <w:rPr>
          <w:sz w:val="24"/>
          <w:szCs w:val="24"/>
        </w:rPr>
        <w:t xml:space="preserve"> </w:t>
      </w:r>
      <w:r w:rsidRPr="00225313">
        <w:rPr>
          <w:b/>
          <w:sz w:val="24"/>
          <w:szCs w:val="24"/>
        </w:rPr>
        <w:t>109</w:t>
      </w:r>
      <w:r w:rsidRPr="00225313">
        <w:rPr>
          <w:sz w:val="24"/>
          <w:szCs w:val="24"/>
        </w:rPr>
        <w:t xml:space="preserve"> (2005) 18096–18102.</w:t>
      </w:r>
    </w:p>
    <w:p w14:paraId="7C3A26E1" w14:textId="0F436532" w:rsidR="00817358" w:rsidRPr="00225313" w:rsidRDefault="00D360E4" w:rsidP="00D360E4">
      <w:pPr>
        <w:pStyle w:val="OCJENSKIRADOVIReferencija"/>
        <w:rPr>
          <w:sz w:val="24"/>
          <w:szCs w:val="24"/>
        </w:rPr>
      </w:pPr>
      <w:r w:rsidRPr="00225313">
        <w:rPr>
          <w:sz w:val="24"/>
          <w:szCs w:val="24"/>
        </w:rPr>
        <w:t xml:space="preserve">J. Požar, M. Cvetnić, A. Usenik, N. Cindro, G. Horvat , K. Leko, M. Modrušan, V. Tomišić, </w:t>
      </w:r>
      <w:r w:rsidRPr="00225313">
        <w:rPr>
          <w:i/>
          <w:sz w:val="24"/>
          <w:szCs w:val="24"/>
        </w:rPr>
        <w:t>Molecules</w:t>
      </w:r>
      <w:r w:rsidRPr="00225313">
        <w:rPr>
          <w:sz w:val="24"/>
          <w:szCs w:val="24"/>
        </w:rPr>
        <w:t xml:space="preserve"> </w:t>
      </w:r>
      <w:r w:rsidRPr="00225313">
        <w:rPr>
          <w:b/>
          <w:sz w:val="24"/>
          <w:szCs w:val="24"/>
        </w:rPr>
        <w:t>27</w:t>
      </w:r>
      <w:r w:rsidRPr="00225313">
        <w:rPr>
          <w:sz w:val="24"/>
          <w:szCs w:val="24"/>
        </w:rPr>
        <w:t xml:space="preserve"> (2022) 470</w:t>
      </w:r>
      <w:r w:rsidR="0034709D" w:rsidRPr="00225313">
        <w:rPr>
          <w:sz w:val="24"/>
          <w:szCs w:val="24"/>
        </w:rPr>
        <w:t>.</w:t>
      </w:r>
    </w:p>
    <w:p w14:paraId="278DED6E" w14:textId="10B93FC2" w:rsidR="0034709D" w:rsidRPr="00225313" w:rsidRDefault="0034709D" w:rsidP="00D360E4">
      <w:pPr>
        <w:pStyle w:val="OCJENSKIRADOVIReferencija"/>
        <w:rPr>
          <w:sz w:val="24"/>
          <w:szCs w:val="24"/>
        </w:rPr>
      </w:pPr>
      <w:r w:rsidRPr="00225313">
        <w:rPr>
          <w:sz w:val="24"/>
          <w:szCs w:val="24"/>
        </w:rPr>
        <w:t xml:space="preserve">M. S. Searle, M. S. Westwell, D. H. Williams, </w:t>
      </w:r>
      <w:r w:rsidRPr="00225313">
        <w:rPr>
          <w:i/>
          <w:sz w:val="24"/>
          <w:szCs w:val="24"/>
        </w:rPr>
        <w:t xml:space="preserve">J. Chem. Soc., Perkin Trans. 2 </w:t>
      </w:r>
      <w:r w:rsidR="008A429E" w:rsidRPr="00225313">
        <w:rPr>
          <w:sz w:val="24"/>
          <w:szCs w:val="24"/>
        </w:rPr>
        <w:t>(</w:t>
      </w:r>
      <w:r w:rsidRPr="00225313">
        <w:rPr>
          <w:sz w:val="24"/>
          <w:szCs w:val="24"/>
        </w:rPr>
        <w:t>1995</w:t>
      </w:r>
      <w:r w:rsidR="008A429E" w:rsidRPr="00225313">
        <w:rPr>
          <w:sz w:val="24"/>
          <w:szCs w:val="24"/>
        </w:rPr>
        <w:t>)</w:t>
      </w:r>
      <w:r w:rsidRPr="00225313">
        <w:rPr>
          <w:sz w:val="24"/>
          <w:szCs w:val="24"/>
        </w:rPr>
        <w:t xml:space="preserve"> 141</w:t>
      </w:r>
      <w:r w:rsidR="008A429E" w:rsidRPr="00225313">
        <w:rPr>
          <w:sz w:val="24"/>
          <w:szCs w:val="24"/>
        </w:rPr>
        <w:t>–</w:t>
      </w:r>
      <w:r w:rsidRPr="00225313">
        <w:rPr>
          <w:sz w:val="24"/>
          <w:szCs w:val="24"/>
        </w:rPr>
        <w:t>151</w:t>
      </w:r>
      <w:r w:rsidR="008A429E" w:rsidRPr="00225313">
        <w:rPr>
          <w:sz w:val="24"/>
          <w:szCs w:val="24"/>
        </w:rPr>
        <w:t>.</w:t>
      </w:r>
    </w:p>
    <w:p w14:paraId="54758524" w14:textId="77777777" w:rsidR="00994313" w:rsidRPr="00225313" w:rsidRDefault="008A429E" w:rsidP="00D360E4">
      <w:pPr>
        <w:pStyle w:val="OCJENSKIRADOVIReferencija"/>
        <w:rPr>
          <w:sz w:val="24"/>
          <w:szCs w:val="24"/>
        </w:rPr>
      </w:pPr>
      <w:r w:rsidRPr="00225313">
        <w:rPr>
          <w:sz w:val="24"/>
          <w:szCs w:val="24"/>
        </w:rPr>
        <w:t xml:space="preserve">M. S. Searle, G. J. Sharman, P. Groves, B. Benhamu, D. A. Beauregard, M. S. Westwell, R. J. Dancer, A. J. Maguire, A. C. Try, D. H. Williams, </w:t>
      </w:r>
      <w:r w:rsidRPr="00225313">
        <w:rPr>
          <w:i/>
          <w:sz w:val="24"/>
          <w:szCs w:val="24"/>
        </w:rPr>
        <w:t>J. Chem. Soc., Perkin Trans. 1</w:t>
      </w:r>
      <w:r w:rsidRPr="00225313">
        <w:rPr>
          <w:sz w:val="24"/>
          <w:szCs w:val="24"/>
        </w:rPr>
        <w:t xml:space="preserve"> (1996) 2781–2786.</w:t>
      </w:r>
    </w:p>
    <w:p w14:paraId="608E4317" w14:textId="56A7D154" w:rsidR="008A429E" w:rsidRPr="00225313" w:rsidRDefault="00994313" w:rsidP="00D360E4">
      <w:pPr>
        <w:pStyle w:val="OCJENSKIRADOVIReferencija"/>
        <w:rPr>
          <w:sz w:val="24"/>
          <w:szCs w:val="24"/>
        </w:rPr>
      </w:pPr>
      <w:r w:rsidRPr="00225313">
        <w:rPr>
          <w:sz w:val="24"/>
          <w:szCs w:val="24"/>
        </w:rPr>
        <w:t xml:space="preserve">C. T. Calderone, D. H. Williams, </w:t>
      </w:r>
      <w:r w:rsidRPr="00225313">
        <w:rPr>
          <w:i/>
          <w:sz w:val="24"/>
          <w:szCs w:val="24"/>
        </w:rPr>
        <w:t>J. Am. Chem. Soc.</w:t>
      </w:r>
      <w:r w:rsidRPr="00225313">
        <w:rPr>
          <w:sz w:val="24"/>
          <w:szCs w:val="24"/>
        </w:rPr>
        <w:t xml:space="preserve">, </w:t>
      </w:r>
      <w:r w:rsidRPr="00225313">
        <w:rPr>
          <w:b/>
          <w:sz w:val="24"/>
          <w:szCs w:val="24"/>
        </w:rPr>
        <w:t>123</w:t>
      </w:r>
      <w:r w:rsidRPr="00225313">
        <w:rPr>
          <w:sz w:val="24"/>
          <w:szCs w:val="24"/>
        </w:rPr>
        <w:t xml:space="preserve"> (2001) 6262–6267.</w:t>
      </w:r>
      <w:r w:rsidRPr="00225313">
        <w:rPr>
          <w:sz w:val="24"/>
          <w:szCs w:val="24"/>
        </w:rPr>
        <w:cr/>
      </w:r>
      <w:r w:rsidR="008A429E" w:rsidRPr="00225313">
        <w:rPr>
          <w:sz w:val="24"/>
          <w:szCs w:val="24"/>
        </w:rPr>
        <w:t xml:space="preserve">  </w:t>
      </w:r>
    </w:p>
    <w:p w14:paraId="040C238A" w14:textId="77777777" w:rsidR="00424536" w:rsidRPr="00225313" w:rsidRDefault="00424536" w:rsidP="00013B9F">
      <w:pPr>
        <w:pStyle w:val="OCJENSKIRADOVIOdlomak2OSTALIODLOMCI"/>
        <w:ind w:firstLine="0"/>
      </w:pPr>
    </w:p>
    <w:sectPr w:rsidR="00424536" w:rsidRPr="00225313" w:rsidSect="00FB4312">
      <w:headerReference w:type="default" r:id="rId43"/>
      <w:pgSz w:w="11907" w:h="16840" w:code="9"/>
      <w:pgMar w:top="1701" w:right="1418" w:bottom="1701"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FD3D1" w14:textId="77777777" w:rsidR="002235FE" w:rsidRDefault="002235FE">
      <w:r>
        <w:separator/>
      </w:r>
    </w:p>
    <w:p w14:paraId="312DD9CF" w14:textId="77777777" w:rsidR="002235FE" w:rsidRDefault="002235FE"/>
    <w:p w14:paraId="4709AEB8" w14:textId="77777777" w:rsidR="002235FE" w:rsidRDefault="002235FE"/>
  </w:endnote>
  <w:endnote w:type="continuationSeparator" w:id="0">
    <w:p w14:paraId="364CEC7D" w14:textId="77777777" w:rsidR="002235FE" w:rsidRDefault="002235FE">
      <w:r>
        <w:continuationSeparator/>
      </w:r>
    </w:p>
    <w:p w14:paraId="40195166" w14:textId="77777777" w:rsidR="002235FE" w:rsidRDefault="002235FE"/>
    <w:p w14:paraId="265495AA" w14:textId="77777777" w:rsidR="002235FE" w:rsidRDefault="0022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391F" w14:textId="77777777" w:rsidR="00606224" w:rsidRPr="00B75EF3" w:rsidRDefault="00606224" w:rsidP="003F1372">
    <w:pPr>
      <w:pStyle w:val="OCJENSKIRADOVI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7D8B" w14:textId="46E427CA" w:rsidR="00606224" w:rsidRPr="009D2C88" w:rsidRDefault="00606224" w:rsidP="00BC1200">
    <w:pPr>
      <w:pStyle w:val="OCJENSKIRADOVIFooter"/>
      <w:pBdr>
        <w:top w:val="single" w:sz="4" w:space="1" w:color="auto"/>
      </w:pBdr>
    </w:pPr>
    <w:r>
      <w:t>Matija Modrušan</w:t>
    </w:r>
    <w:r>
      <w:tab/>
    </w:r>
    <w:r>
      <w:rPr>
        <w:i/>
        <w:iCs/>
      </w:rPr>
      <w:t>Kemijski seminar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C8B77" w14:textId="77777777" w:rsidR="002235FE" w:rsidRDefault="002235FE">
      <w:r>
        <w:separator/>
      </w:r>
    </w:p>
    <w:p w14:paraId="2B0F4BAB" w14:textId="77777777" w:rsidR="002235FE" w:rsidRDefault="002235FE"/>
    <w:p w14:paraId="04D6A748" w14:textId="77777777" w:rsidR="002235FE" w:rsidRDefault="002235FE"/>
  </w:footnote>
  <w:footnote w:type="continuationSeparator" w:id="0">
    <w:p w14:paraId="4D99C5D3" w14:textId="77777777" w:rsidR="002235FE" w:rsidRDefault="002235FE">
      <w:r>
        <w:continuationSeparator/>
      </w:r>
    </w:p>
    <w:p w14:paraId="1F47188E" w14:textId="77777777" w:rsidR="002235FE" w:rsidRDefault="002235FE"/>
    <w:p w14:paraId="0585BE74" w14:textId="77777777" w:rsidR="002235FE" w:rsidRDefault="00223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E014" w14:textId="77777777" w:rsidR="00606224" w:rsidRPr="00B75EF3" w:rsidRDefault="00606224" w:rsidP="003F1372">
    <w:pPr>
      <w:pStyle w:val="OCJENSKIRADOVI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93EE" w14:textId="54C8A8D0" w:rsidR="00606224" w:rsidRPr="00C9165C" w:rsidRDefault="00606224" w:rsidP="00BC1200">
    <w:pPr>
      <w:pStyle w:val="OCJENSKIRADOVIHeader"/>
      <w:pBdr>
        <w:bottom w:val="single" w:sz="4" w:space="1" w:color="auto"/>
      </w:pBdr>
    </w:pPr>
    <w:r>
      <w:t>§ 1</w:t>
    </w:r>
    <w:r w:rsidRPr="00C9165C">
      <w:t xml:space="preserve">. </w:t>
    </w:r>
    <w:r>
      <w:t>Uvod</w:t>
    </w:r>
    <w:r w:rsidRPr="00C9165C">
      <w:tab/>
    </w:r>
    <w:r>
      <w:fldChar w:fldCharType="begin"/>
    </w:r>
    <w:r>
      <w:instrText xml:space="preserve"> PAGE </w:instrText>
    </w:r>
    <w:r>
      <w:fldChar w:fldCharType="separate"/>
    </w:r>
    <w:r w:rsidR="002D47DB">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36AE" w14:textId="12E20E33" w:rsidR="00606224" w:rsidRPr="00C9165C" w:rsidRDefault="00606224" w:rsidP="00BC1200">
    <w:pPr>
      <w:pStyle w:val="OCJENSKIRADOVIHeader"/>
      <w:pBdr>
        <w:bottom w:val="single" w:sz="4" w:space="1" w:color="auto"/>
      </w:pBdr>
    </w:pPr>
    <w:r>
      <w:t>§ 2</w:t>
    </w:r>
    <w:r w:rsidRPr="00C9165C">
      <w:t xml:space="preserve">. </w:t>
    </w:r>
    <w:r>
      <w:t>Literaturni pregled</w:t>
    </w:r>
    <w:r w:rsidRPr="00C9165C">
      <w:tab/>
    </w:r>
    <w:r>
      <w:fldChar w:fldCharType="begin"/>
    </w:r>
    <w:r>
      <w:instrText xml:space="preserve"> PAGE </w:instrText>
    </w:r>
    <w:r>
      <w:fldChar w:fldCharType="separate"/>
    </w:r>
    <w:r w:rsidR="002D47DB">
      <w:rPr>
        <w:noProof/>
      </w:rPr>
      <w:t>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288D" w14:textId="1EEF7E13" w:rsidR="00606224" w:rsidRPr="00C9165C" w:rsidRDefault="00606224" w:rsidP="00BC1200">
    <w:pPr>
      <w:pStyle w:val="OCJENSKIRADOVIHeader"/>
      <w:pBdr>
        <w:bottom w:val="single" w:sz="4" w:space="1" w:color="auto"/>
      </w:pBdr>
    </w:pPr>
    <w:r>
      <w:t>§ 3</w:t>
    </w:r>
    <w:r w:rsidRPr="00C9165C">
      <w:t xml:space="preserve">. </w:t>
    </w:r>
    <w:r>
      <w:t>Zaključak</w:t>
    </w:r>
    <w:r w:rsidRPr="00C9165C">
      <w:tab/>
    </w:r>
    <w:r>
      <w:fldChar w:fldCharType="begin"/>
    </w:r>
    <w:r>
      <w:instrText xml:space="preserve"> PAGE </w:instrText>
    </w:r>
    <w:r>
      <w:fldChar w:fldCharType="separate"/>
    </w:r>
    <w:r w:rsidR="002D47DB">
      <w:rPr>
        <w:noProof/>
      </w:rPr>
      <w:t>10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DB84" w14:textId="22FBD914" w:rsidR="00606224" w:rsidRPr="00C9165C" w:rsidRDefault="00606224" w:rsidP="00171E1F">
    <w:pPr>
      <w:pStyle w:val="OCJENSKIRADOVIHeader"/>
      <w:pBdr>
        <w:bottom w:val="single" w:sz="4" w:space="1" w:color="auto"/>
      </w:pBdr>
    </w:pPr>
    <w:r>
      <w:t>§ 9</w:t>
    </w:r>
    <w:r w:rsidRPr="00C9165C">
      <w:t xml:space="preserve">. </w:t>
    </w:r>
    <w:r>
      <w:t>Životopis</w:t>
    </w:r>
    <w:r w:rsidRPr="00C9165C">
      <w:tab/>
    </w:r>
    <w:r>
      <w:fldChar w:fldCharType="begin"/>
    </w:r>
    <w:r>
      <w:instrText xml:space="preserve"> PAGE </w:instrText>
    </w:r>
    <w:r>
      <w:fldChar w:fldCharType="separate"/>
    </w:r>
    <w:r w:rsidR="002D47DB">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4"/>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0"/>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
  </w:num>
  <w:num w:numId="23">
    <w:abstractNumId w:val="10"/>
  </w:num>
  <w:num w:numId="24">
    <w:abstractNumId w:val="28"/>
  </w:num>
  <w:num w:numId="25">
    <w:abstractNumId w:val="12"/>
  </w:num>
  <w:num w:numId="26">
    <w:abstractNumId w:val="18"/>
  </w:num>
  <w:num w:numId="27">
    <w:abstractNumId w:val="19"/>
  </w:num>
  <w:num w:numId="28">
    <w:abstractNumId w:val="27"/>
  </w:num>
  <w:num w:numId="29">
    <w:abstractNumId w:val="31"/>
  </w:num>
  <w:num w:numId="30">
    <w:abstractNumId w:val="5"/>
  </w:num>
  <w:num w:numId="31">
    <w:abstractNumId w:val="26"/>
  </w:num>
  <w:num w:numId="32">
    <w:abstractNumId w:val="20"/>
  </w:num>
  <w:num w:numId="33">
    <w:abstractNumId w:val="13"/>
  </w:num>
  <w:num w:numId="34">
    <w:abstractNumId w:val="17"/>
  </w:num>
  <w:num w:numId="35">
    <w:abstractNumId w:val="29"/>
  </w:num>
  <w:num w:numId="36">
    <w:abstractNumId w:val="11"/>
  </w:num>
  <w:num w:numId="37">
    <w:abstractNumId w:val="6"/>
  </w:num>
  <w:num w:numId="38">
    <w:abstractNumId w:val="4"/>
  </w:num>
  <w:num w:numId="39">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lignBordersAndEdges/>
  <w:bordersDoNotSurroundHeader/>
  <w:bordersDoNotSurroundFooter/>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0B2"/>
    <w:rsid w:val="0000068D"/>
    <w:rsid w:val="00001140"/>
    <w:rsid w:val="000016E6"/>
    <w:rsid w:val="00001826"/>
    <w:rsid w:val="00001F5C"/>
    <w:rsid w:val="000028F9"/>
    <w:rsid w:val="00003166"/>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C8D"/>
    <w:rsid w:val="00031FC0"/>
    <w:rsid w:val="00032475"/>
    <w:rsid w:val="00032F49"/>
    <w:rsid w:val="00034478"/>
    <w:rsid w:val="00034A31"/>
    <w:rsid w:val="0003575E"/>
    <w:rsid w:val="00035BD5"/>
    <w:rsid w:val="00035C11"/>
    <w:rsid w:val="00035C47"/>
    <w:rsid w:val="00036247"/>
    <w:rsid w:val="00037376"/>
    <w:rsid w:val="00037433"/>
    <w:rsid w:val="0004045E"/>
    <w:rsid w:val="000405ED"/>
    <w:rsid w:val="00040622"/>
    <w:rsid w:val="00040971"/>
    <w:rsid w:val="00041202"/>
    <w:rsid w:val="00041270"/>
    <w:rsid w:val="000413DC"/>
    <w:rsid w:val="0004307C"/>
    <w:rsid w:val="0004316F"/>
    <w:rsid w:val="00043222"/>
    <w:rsid w:val="000446A0"/>
    <w:rsid w:val="00044C34"/>
    <w:rsid w:val="0004585E"/>
    <w:rsid w:val="00045B9A"/>
    <w:rsid w:val="00045F5D"/>
    <w:rsid w:val="000476AF"/>
    <w:rsid w:val="00047D43"/>
    <w:rsid w:val="00047E55"/>
    <w:rsid w:val="000505FA"/>
    <w:rsid w:val="00050899"/>
    <w:rsid w:val="00050C16"/>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EB5"/>
    <w:rsid w:val="000622C1"/>
    <w:rsid w:val="000640E7"/>
    <w:rsid w:val="00064C2C"/>
    <w:rsid w:val="000659AE"/>
    <w:rsid w:val="00065B7B"/>
    <w:rsid w:val="0006616B"/>
    <w:rsid w:val="000663D7"/>
    <w:rsid w:val="00067AD0"/>
    <w:rsid w:val="00070565"/>
    <w:rsid w:val="0007081E"/>
    <w:rsid w:val="00071649"/>
    <w:rsid w:val="000717E8"/>
    <w:rsid w:val="00073AB1"/>
    <w:rsid w:val="00074541"/>
    <w:rsid w:val="00075792"/>
    <w:rsid w:val="0007635F"/>
    <w:rsid w:val="0007670F"/>
    <w:rsid w:val="000771D9"/>
    <w:rsid w:val="00077A85"/>
    <w:rsid w:val="0008046E"/>
    <w:rsid w:val="00080A13"/>
    <w:rsid w:val="00081241"/>
    <w:rsid w:val="00081B81"/>
    <w:rsid w:val="00082E76"/>
    <w:rsid w:val="00083526"/>
    <w:rsid w:val="0008490E"/>
    <w:rsid w:val="00085013"/>
    <w:rsid w:val="00085C7C"/>
    <w:rsid w:val="0008725E"/>
    <w:rsid w:val="000912D1"/>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8FA"/>
    <w:rsid w:val="000E0EA9"/>
    <w:rsid w:val="000E16BA"/>
    <w:rsid w:val="000E2527"/>
    <w:rsid w:val="000E2BEF"/>
    <w:rsid w:val="000E2E8D"/>
    <w:rsid w:val="000E3C21"/>
    <w:rsid w:val="000E49D1"/>
    <w:rsid w:val="000E62DC"/>
    <w:rsid w:val="000E6C58"/>
    <w:rsid w:val="000E7F3E"/>
    <w:rsid w:val="000F08C6"/>
    <w:rsid w:val="000F2FDA"/>
    <w:rsid w:val="000F3262"/>
    <w:rsid w:val="000F44A7"/>
    <w:rsid w:val="000F49D8"/>
    <w:rsid w:val="000F52EA"/>
    <w:rsid w:val="000F7126"/>
    <w:rsid w:val="001005A5"/>
    <w:rsid w:val="00100621"/>
    <w:rsid w:val="0010066C"/>
    <w:rsid w:val="0010070A"/>
    <w:rsid w:val="00102E3B"/>
    <w:rsid w:val="001036E1"/>
    <w:rsid w:val="0010465C"/>
    <w:rsid w:val="00105581"/>
    <w:rsid w:val="00105694"/>
    <w:rsid w:val="0010712A"/>
    <w:rsid w:val="00107151"/>
    <w:rsid w:val="0010722B"/>
    <w:rsid w:val="00107997"/>
    <w:rsid w:val="00107E00"/>
    <w:rsid w:val="0011034D"/>
    <w:rsid w:val="00110513"/>
    <w:rsid w:val="00111A50"/>
    <w:rsid w:val="00111C8F"/>
    <w:rsid w:val="00113190"/>
    <w:rsid w:val="00113F33"/>
    <w:rsid w:val="00114144"/>
    <w:rsid w:val="00115257"/>
    <w:rsid w:val="00115319"/>
    <w:rsid w:val="00115F45"/>
    <w:rsid w:val="001160F8"/>
    <w:rsid w:val="00116FEE"/>
    <w:rsid w:val="00117700"/>
    <w:rsid w:val="0011771B"/>
    <w:rsid w:val="001179AC"/>
    <w:rsid w:val="001201C1"/>
    <w:rsid w:val="001202C3"/>
    <w:rsid w:val="00120AB1"/>
    <w:rsid w:val="001234B7"/>
    <w:rsid w:val="00123856"/>
    <w:rsid w:val="00124243"/>
    <w:rsid w:val="00124565"/>
    <w:rsid w:val="00126A62"/>
    <w:rsid w:val="00127888"/>
    <w:rsid w:val="00127DD2"/>
    <w:rsid w:val="00130BD8"/>
    <w:rsid w:val="00131854"/>
    <w:rsid w:val="0013396E"/>
    <w:rsid w:val="001345FE"/>
    <w:rsid w:val="0013496E"/>
    <w:rsid w:val="00135431"/>
    <w:rsid w:val="00135809"/>
    <w:rsid w:val="00135AE6"/>
    <w:rsid w:val="001408BD"/>
    <w:rsid w:val="00140F3A"/>
    <w:rsid w:val="00141991"/>
    <w:rsid w:val="00141DC9"/>
    <w:rsid w:val="00142971"/>
    <w:rsid w:val="00143B40"/>
    <w:rsid w:val="001475B3"/>
    <w:rsid w:val="00147800"/>
    <w:rsid w:val="0014784A"/>
    <w:rsid w:val="00150D60"/>
    <w:rsid w:val="00151040"/>
    <w:rsid w:val="001510C1"/>
    <w:rsid w:val="00152113"/>
    <w:rsid w:val="001524F8"/>
    <w:rsid w:val="001530D9"/>
    <w:rsid w:val="00153731"/>
    <w:rsid w:val="001558DB"/>
    <w:rsid w:val="0015657C"/>
    <w:rsid w:val="001565B6"/>
    <w:rsid w:val="00156FEF"/>
    <w:rsid w:val="00157A7F"/>
    <w:rsid w:val="00161AC9"/>
    <w:rsid w:val="00162143"/>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6B4"/>
    <w:rsid w:val="00170889"/>
    <w:rsid w:val="00170B2C"/>
    <w:rsid w:val="00171381"/>
    <w:rsid w:val="00171A55"/>
    <w:rsid w:val="00171E1F"/>
    <w:rsid w:val="00172000"/>
    <w:rsid w:val="0017207E"/>
    <w:rsid w:val="001725EC"/>
    <w:rsid w:val="00173E58"/>
    <w:rsid w:val="0017406D"/>
    <w:rsid w:val="00174D55"/>
    <w:rsid w:val="00175633"/>
    <w:rsid w:val="00175D98"/>
    <w:rsid w:val="00176E64"/>
    <w:rsid w:val="00177094"/>
    <w:rsid w:val="001771F9"/>
    <w:rsid w:val="00180148"/>
    <w:rsid w:val="0018084D"/>
    <w:rsid w:val="001809F1"/>
    <w:rsid w:val="00182924"/>
    <w:rsid w:val="00183415"/>
    <w:rsid w:val="001847C4"/>
    <w:rsid w:val="00186036"/>
    <w:rsid w:val="001862E6"/>
    <w:rsid w:val="00186945"/>
    <w:rsid w:val="00190BBD"/>
    <w:rsid w:val="0019126B"/>
    <w:rsid w:val="00193C88"/>
    <w:rsid w:val="001959F0"/>
    <w:rsid w:val="00195AED"/>
    <w:rsid w:val="00197388"/>
    <w:rsid w:val="0019787D"/>
    <w:rsid w:val="001A0ED1"/>
    <w:rsid w:val="001A1163"/>
    <w:rsid w:val="001A1261"/>
    <w:rsid w:val="001A2C6B"/>
    <w:rsid w:val="001A2EF8"/>
    <w:rsid w:val="001A3B66"/>
    <w:rsid w:val="001A640D"/>
    <w:rsid w:val="001A6751"/>
    <w:rsid w:val="001A6C88"/>
    <w:rsid w:val="001A7952"/>
    <w:rsid w:val="001B0A8D"/>
    <w:rsid w:val="001B1961"/>
    <w:rsid w:val="001B1ECC"/>
    <w:rsid w:val="001B26CD"/>
    <w:rsid w:val="001B2FD6"/>
    <w:rsid w:val="001B364B"/>
    <w:rsid w:val="001B3CB5"/>
    <w:rsid w:val="001B45D9"/>
    <w:rsid w:val="001B47F4"/>
    <w:rsid w:val="001B4907"/>
    <w:rsid w:val="001B4FA6"/>
    <w:rsid w:val="001B582C"/>
    <w:rsid w:val="001B5EFC"/>
    <w:rsid w:val="001B6C2C"/>
    <w:rsid w:val="001B6E1D"/>
    <w:rsid w:val="001B7C8A"/>
    <w:rsid w:val="001C0A90"/>
    <w:rsid w:val="001C0C0B"/>
    <w:rsid w:val="001C11DC"/>
    <w:rsid w:val="001C1954"/>
    <w:rsid w:val="001C2086"/>
    <w:rsid w:val="001C29A5"/>
    <w:rsid w:val="001C2EA2"/>
    <w:rsid w:val="001C31BB"/>
    <w:rsid w:val="001C49F3"/>
    <w:rsid w:val="001C54AB"/>
    <w:rsid w:val="001C5C89"/>
    <w:rsid w:val="001C6639"/>
    <w:rsid w:val="001C66FA"/>
    <w:rsid w:val="001C6C03"/>
    <w:rsid w:val="001C6CE0"/>
    <w:rsid w:val="001D0654"/>
    <w:rsid w:val="001D1D0D"/>
    <w:rsid w:val="001D2D60"/>
    <w:rsid w:val="001D2FA9"/>
    <w:rsid w:val="001D3CBA"/>
    <w:rsid w:val="001D4FC7"/>
    <w:rsid w:val="001D74CF"/>
    <w:rsid w:val="001E012C"/>
    <w:rsid w:val="001E3FD6"/>
    <w:rsid w:val="001E477B"/>
    <w:rsid w:val="001E5414"/>
    <w:rsid w:val="001E550E"/>
    <w:rsid w:val="001E5843"/>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4EB"/>
    <w:rsid w:val="00200CD9"/>
    <w:rsid w:val="0020256F"/>
    <w:rsid w:val="00202633"/>
    <w:rsid w:val="00204399"/>
    <w:rsid w:val="00204717"/>
    <w:rsid w:val="002052F3"/>
    <w:rsid w:val="00206DAC"/>
    <w:rsid w:val="00210410"/>
    <w:rsid w:val="00210DAF"/>
    <w:rsid w:val="002123EA"/>
    <w:rsid w:val="00213B47"/>
    <w:rsid w:val="00213B52"/>
    <w:rsid w:val="00215CC0"/>
    <w:rsid w:val="00217B5D"/>
    <w:rsid w:val="00220590"/>
    <w:rsid w:val="0022071A"/>
    <w:rsid w:val="00220AF1"/>
    <w:rsid w:val="00221041"/>
    <w:rsid w:val="00222D15"/>
    <w:rsid w:val="002235FE"/>
    <w:rsid w:val="00223B46"/>
    <w:rsid w:val="002246CF"/>
    <w:rsid w:val="00225313"/>
    <w:rsid w:val="0022632F"/>
    <w:rsid w:val="00227101"/>
    <w:rsid w:val="0022769D"/>
    <w:rsid w:val="00227A63"/>
    <w:rsid w:val="002309A9"/>
    <w:rsid w:val="00230C04"/>
    <w:rsid w:val="00230CA5"/>
    <w:rsid w:val="00230CAC"/>
    <w:rsid w:val="00230E78"/>
    <w:rsid w:val="002310AA"/>
    <w:rsid w:val="002317DA"/>
    <w:rsid w:val="00233689"/>
    <w:rsid w:val="00233E08"/>
    <w:rsid w:val="00233EBB"/>
    <w:rsid w:val="00233F8C"/>
    <w:rsid w:val="0023583E"/>
    <w:rsid w:val="002365BE"/>
    <w:rsid w:val="00237026"/>
    <w:rsid w:val="0023757B"/>
    <w:rsid w:val="00237B48"/>
    <w:rsid w:val="002405CB"/>
    <w:rsid w:val="00240EEF"/>
    <w:rsid w:val="002419EB"/>
    <w:rsid w:val="0024360B"/>
    <w:rsid w:val="00243E86"/>
    <w:rsid w:val="002443E5"/>
    <w:rsid w:val="00244FE6"/>
    <w:rsid w:val="00245936"/>
    <w:rsid w:val="00245B76"/>
    <w:rsid w:val="00245CF4"/>
    <w:rsid w:val="00246969"/>
    <w:rsid w:val="0024731A"/>
    <w:rsid w:val="00251193"/>
    <w:rsid w:val="00252A4D"/>
    <w:rsid w:val="0025364E"/>
    <w:rsid w:val="00254C14"/>
    <w:rsid w:val="00256CE8"/>
    <w:rsid w:val="00257053"/>
    <w:rsid w:val="0026004A"/>
    <w:rsid w:val="00261A15"/>
    <w:rsid w:val="00262CA3"/>
    <w:rsid w:val="00262FBC"/>
    <w:rsid w:val="00263AA0"/>
    <w:rsid w:val="00265509"/>
    <w:rsid w:val="00265879"/>
    <w:rsid w:val="00266C83"/>
    <w:rsid w:val="00266DFB"/>
    <w:rsid w:val="00267DAB"/>
    <w:rsid w:val="00270DB0"/>
    <w:rsid w:val="002724A4"/>
    <w:rsid w:val="00272758"/>
    <w:rsid w:val="002736DB"/>
    <w:rsid w:val="0027468E"/>
    <w:rsid w:val="00274D02"/>
    <w:rsid w:val="00274F5F"/>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46E5"/>
    <w:rsid w:val="00285CEB"/>
    <w:rsid w:val="00285E8C"/>
    <w:rsid w:val="00290097"/>
    <w:rsid w:val="0029027D"/>
    <w:rsid w:val="00290F86"/>
    <w:rsid w:val="00291CF5"/>
    <w:rsid w:val="0029298F"/>
    <w:rsid w:val="00292E95"/>
    <w:rsid w:val="00292EC9"/>
    <w:rsid w:val="00293909"/>
    <w:rsid w:val="00294BFB"/>
    <w:rsid w:val="00294C0F"/>
    <w:rsid w:val="00294CE7"/>
    <w:rsid w:val="0029513C"/>
    <w:rsid w:val="0029523B"/>
    <w:rsid w:val="002966F4"/>
    <w:rsid w:val="0029723E"/>
    <w:rsid w:val="00297F67"/>
    <w:rsid w:val="002A0CDE"/>
    <w:rsid w:val="002A2319"/>
    <w:rsid w:val="002A3137"/>
    <w:rsid w:val="002A3232"/>
    <w:rsid w:val="002A3F9A"/>
    <w:rsid w:val="002A599B"/>
    <w:rsid w:val="002A5B33"/>
    <w:rsid w:val="002A72B3"/>
    <w:rsid w:val="002A7713"/>
    <w:rsid w:val="002A7B7C"/>
    <w:rsid w:val="002B0325"/>
    <w:rsid w:val="002B1CD8"/>
    <w:rsid w:val="002B1D49"/>
    <w:rsid w:val="002B2205"/>
    <w:rsid w:val="002B2879"/>
    <w:rsid w:val="002B3289"/>
    <w:rsid w:val="002B5265"/>
    <w:rsid w:val="002B5405"/>
    <w:rsid w:val="002B5C5F"/>
    <w:rsid w:val="002B67F1"/>
    <w:rsid w:val="002B6B88"/>
    <w:rsid w:val="002C097A"/>
    <w:rsid w:val="002C0B3E"/>
    <w:rsid w:val="002C16A6"/>
    <w:rsid w:val="002C21A5"/>
    <w:rsid w:val="002C29A5"/>
    <w:rsid w:val="002C2E37"/>
    <w:rsid w:val="002C3A24"/>
    <w:rsid w:val="002C49FB"/>
    <w:rsid w:val="002C52D8"/>
    <w:rsid w:val="002C53A6"/>
    <w:rsid w:val="002C6F53"/>
    <w:rsid w:val="002C7DD1"/>
    <w:rsid w:val="002D333E"/>
    <w:rsid w:val="002D3405"/>
    <w:rsid w:val="002D3E9D"/>
    <w:rsid w:val="002D421D"/>
    <w:rsid w:val="002D466E"/>
    <w:rsid w:val="002D4795"/>
    <w:rsid w:val="002D47DB"/>
    <w:rsid w:val="002D4A44"/>
    <w:rsid w:val="002D511E"/>
    <w:rsid w:val="002D52D0"/>
    <w:rsid w:val="002D5CA4"/>
    <w:rsid w:val="002D5CDB"/>
    <w:rsid w:val="002D673D"/>
    <w:rsid w:val="002D7735"/>
    <w:rsid w:val="002D796B"/>
    <w:rsid w:val="002E086F"/>
    <w:rsid w:val="002E0D31"/>
    <w:rsid w:val="002E0F18"/>
    <w:rsid w:val="002E1453"/>
    <w:rsid w:val="002E14FA"/>
    <w:rsid w:val="002E1729"/>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15504"/>
    <w:rsid w:val="00321C89"/>
    <w:rsid w:val="00321E2B"/>
    <w:rsid w:val="003220DC"/>
    <w:rsid w:val="00322EB4"/>
    <w:rsid w:val="00323FD6"/>
    <w:rsid w:val="003246D1"/>
    <w:rsid w:val="00324A1D"/>
    <w:rsid w:val="00327474"/>
    <w:rsid w:val="00327BEB"/>
    <w:rsid w:val="003306E6"/>
    <w:rsid w:val="00331170"/>
    <w:rsid w:val="003315F3"/>
    <w:rsid w:val="00331BE4"/>
    <w:rsid w:val="003324BC"/>
    <w:rsid w:val="00332C4E"/>
    <w:rsid w:val="00333090"/>
    <w:rsid w:val="00333744"/>
    <w:rsid w:val="003339A6"/>
    <w:rsid w:val="00334578"/>
    <w:rsid w:val="0033497A"/>
    <w:rsid w:val="00334A99"/>
    <w:rsid w:val="00334CAD"/>
    <w:rsid w:val="00334E6C"/>
    <w:rsid w:val="00335144"/>
    <w:rsid w:val="003358E8"/>
    <w:rsid w:val="003361A3"/>
    <w:rsid w:val="00336A1A"/>
    <w:rsid w:val="0033734C"/>
    <w:rsid w:val="0033745C"/>
    <w:rsid w:val="00340201"/>
    <w:rsid w:val="003406BF"/>
    <w:rsid w:val="00340A0E"/>
    <w:rsid w:val="0034286F"/>
    <w:rsid w:val="00343FF1"/>
    <w:rsid w:val="003454F3"/>
    <w:rsid w:val="00346792"/>
    <w:rsid w:val="003468E7"/>
    <w:rsid w:val="0034709D"/>
    <w:rsid w:val="0034757E"/>
    <w:rsid w:val="003502E9"/>
    <w:rsid w:val="0035145E"/>
    <w:rsid w:val="003528DF"/>
    <w:rsid w:val="003548AC"/>
    <w:rsid w:val="00354F25"/>
    <w:rsid w:val="00357657"/>
    <w:rsid w:val="0036047E"/>
    <w:rsid w:val="00360F0B"/>
    <w:rsid w:val="003617EE"/>
    <w:rsid w:val="00361BCA"/>
    <w:rsid w:val="00362446"/>
    <w:rsid w:val="003627A0"/>
    <w:rsid w:val="003629D0"/>
    <w:rsid w:val="00362A82"/>
    <w:rsid w:val="00365066"/>
    <w:rsid w:val="00365EFB"/>
    <w:rsid w:val="00366031"/>
    <w:rsid w:val="0036718B"/>
    <w:rsid w:val="003712B7"/>
    <w:rsid w:val="00371424"/>
    <w:rsid w:val="0037148F"/>
    <w:rsid w:val="00371E63"/>
    <w:rsid w:val="00372501"/>
    <w:rsid w:val="003735C7"/>
    <w:rsid w:val="003741D6"/>
    <w:rsid w:val="003742EB"/>
    <w:rsid w:val="0037538B"/>
    <w:rsid w:val="003769A0"/>
    <w:rsid w:val="00377546"/>
    <w:rsid w:val="003776F0"/>
    <w:rsid w:val="00380ABF"/>
    <w:rsid w:val="00381DA5"/>
    <w:rsid w:val="003830D8"/>
    <w:rsid w:val="00383D9B"/>
    <w:rsid w:val="00386523"/>
    <w:rsid w:val="00386657"/>
    <w:rsid w:val="00387E4C"/>
    <w:rsid w:val="00390A03"/>
    <w:rsid w:val="00391AA9"/>
    <w:rsid w:val="00391AF0"/>
    <w:rsid w:val="00391F4B"/>
    <w:rsid w:val="00392EF2"/>
    <w:rsid w:val="003932FA"/>
    <w:rsid w:val="00395D83"/>
    <w:rsid w:val="00395F4B"/>
    <w:rsid w:val="00396AB6"/>
    <w:rsid w:val="00397D66"/>
    <w:rsid w:val="003A1EF3"/>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651"/>
    <w:rsid w:val="003C6ABE"/>
    <w:rsid w:val="003C75E8"/>
    <w:rsid w:val="003D1C90"/>
    <w:rsid w:val="003D2EA2"/>
    <w:rsid w:val="003D4AF6"/>
    <w:rsid w:val="003D4CF1"/>
    <w:rsid w:val="003D5726"/>
    <w:rsid w:val="003D59D2"/>
    <w:rsid w:val="003D667E"/>
    <w:rsid w:val="003D6F32"/>
    <w:rsid w:val="003E21EB"/>
    <w:rsid w:val="003E35CE"/>
    <w:rsid w:val="003E6A5D"/>
    <w:rsid w:val="003E7B0C"/>
    <w:rsid w:val="003F1372"/>
    <w:rsid w:val="003F1476"/>
    <w:rsid w:val="003F20FF"/>
    <w:rsid w:val="003F329F"/>
    <w:rsid w:val="003F4285"/>
    <w:rsid w:val="003F432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ED3"/>
    <w:rsid w:val="0041355F"/>
    <w:rsid w:val="004135C7"/>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584E"/>
    <w:rsid w:val="00435B9E"/>
    <w:rsid w:val="0043606F"/>
    <w:rsid w:val="00436660"/>
    <w:rsid w:val="00437A21"/>
    <w:rsid w:val="00441D10"/>
    <w:rsid w:val="0044240A"/>
    <w:rsid w:val="00444DE4"/>
    <w:rsid w:val="00444EDB"/>
    <w:rsid w:val="0044719B"/>
    <w:rsid w:val="00447416"/>
    <w:rsid w:val="0044787E"/>
    <w:rsid w:val="00447E42"/>
    <w:rsid w:val="00451109"/>
    <w:rsid w:val="0045167A"/>
    <w:rsid w:val="004517EF"/>
    <w:rsid w:val="004520DD"/>
    <w:rsid w:val="0045239D"/>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C22"/>
    <w:rsid w:val="00480E50"/>
    <w:rsid w:val="00483677"/>
    <w:rsid w:val="0048626B"/>
    <w:rsid w:val="004865F9"/>
    <w:rsid w:val="00487CA0"/>
    <w:rsid w:val="00490B93"/>
    <w:rsid w:val="00491901"/>
    <w:rsid w:val="00492078"/>
    <w:rsid w:val="004920FE"/>
    <w:rsid w:val="00492C1E"/>
    <w:rsid w:val="0049344D"/>
    <w:rsid w:val="00493549"/>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B0E7D"/>
    <w:rsid w:val="004B1B16"/>
    <w:rsid w:val="004B1BF0"/>
    <w:rsid w:val="004B2F85"/>
    <w:rsid w:val="004B35DA"/>
    <w:rsid w:val="004B450C"/>
    <w:rsid w:val="004B5204"/>
    <w:rsid w:val="004B633D"/>
    <w:rsid w:val="004B709A"/>
    <w:rsid w:val="004C026C"/>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F45"/>
    <w:rsid w:val="004E1A8C"/>
    <w:rsid w:val="004E1C1D"/>
    <w:rsid w:val="004E2848"/>
    <w:rsid w:val="004E28D9"/>
    <w:rsid w:val="004E3393"/>
    <w:rsid w:val="004E3A84"/>
    <w:rsid w:val="004E41F2"/>
    <w:rsid w:val="004E47CF"/>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5355"/>
    <w:rsid w:val="005153AA"/>
    <w:rsid w:val="005155A2"/>
    <w:rsid w:val="00515937"/>
    <w:rsid w:val="00515A3F"/>
    <w:rsid w:val="00515FA6"/>
    <w:rsid w:val="00516478"/>
    <w:rsid w:val="005177BE"/>
    <w:rsid w:val="00517AC3"/>
    <w:rsid w:val="00517CBF"/>
    <w:rsid w:val="0052056B"/>
    <w:rsid w:val="00520F00"/>
    <w:rsid w:val="00521ADE"/>
    <w:rsid w:val="00525F07"/>
    <w:rsid w:val="00526CCA"/>
    <w:rsid w:val="00527398"/>
    <w:rsid w:val="00527456"/>
    <w:rsid w:val="005309CF"/>
    <w:rsid w:val="00530C48"/>
    <w:rsid w:val="005323BA"/>
    <w:rsid w:val="00532ED4"/>
    <w:rsid w:val="005331F8"/>
    <w:rsid w:val="0053576C"/>
    <w:rsid w:val="00537245"/>
    <w:rsid w:val="00537270"/>
    <w:rsid w:val="0053737F"/>
    <w:rsid w:val="005403CF"/>
    <w:rsid w:val="005424E1"/>
    <w:rsid w:val="00542BF2"/>
    <w:rsid w:val="00543702"/>
    <w:rsid w:val="00544639"/>
    <w:rsid w:val="00545DDE"/>
    <w:rsid w:val="00546560"/>
    <w:rsid w:val="00547E78"/>
    <w:rsid w:val="00547FB0"/>
    <w:rsid w:val="00551379"/>
    <w:rsid w:val="0055198C"/>
    <w:rsid w:val="00551C8B"/>
    <w:rsid w:val="00551CBE"/>
    <w:rsid w:val="00552F1A"/>
    <w:rsid w:val="00553BF5"/>
    <w:rsid w:val="00553D2C"/>
    <w:rsid w:val="0055427B"/>
    <w:rsid w:val="005542EE"/>
    <w:rsid w:val="00554475"/>
    <w:rsid w:val="00555804"/>
    <w:rsid w:val="00555F35"/>
    <w:rsid w:val="0055624E"/>
    <w:rsid w:val="00556451"/>
    <w:rsid w:val="00556EFD"/>
    <w:rsid w:val="00557FBE"/>
    <w:rsid w:val="00561C0F"/>
    <w:rsid w:val="005626C2"/>
    <w:rsid w:val="00562721"/>
    <w:rsid w:val="00563855"/>
    <w:rsid w:val="00563CF1"/>
    <w:rsid w:val="0056526E"/>
    <w:rsid w:val="00565AA8"/>
    <w:rsid w:val="00566F42"/>
    <w:rsid w:val="00567050"/>
    <w:rsid w:val="00570A37"/>
    <w:rsid w:val="00570A73"/>
    <w:rsid w:val="005717DC"/>
    <w:rsid w:val="00572468"/>
    <w:rsid w:val="00572DC1"/>
    <w:rsid w:val="00572DE7"/>
    <w:rsid w:val="005738CA"/>
    <w:rsid w:val="00573DCF"/>
    <w:rsid w:val="00574264"/>
    <w:rsid w:val="0057454C"/>
    <w:rsid w:val="00574D22"/>
    <w:rsid w:val="00575B26"/>
    <w:rsid w:val="00576655"/>
    <w:rsid w:val="00576E5A"/>
    <w:rsid w:val="00577C08"/>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E2C"/>
    <w:rsid w:val="005A0659"/>
    <w:rsid w:val="005A0991"/>
    <w:rsid w:val="005A1E12"/>
    <w:rsid w:val="005A238E"/>
    <w:rsid w:val="005A2894"/>
    <w:rsid w:val="005A2B1D"/>
    <w:rsid w:val="005A3AD9"/>
    <w:rsid w:val="005A41DA"/>
    <w:rsid w:val="005A4641"/>
    <w:rsid w:val="005A4D23"/>
    <w:rsid w:val="005A50B0"/>
    <w:rsid w:val="005A50C1"/>
    <w:rsid w:val="005A5E7C"/>
    <w:rsid w:val="005A5E82"/>
    <w:rsid w:val="005A6B2A"/>
    <w:rsid w:val="005A6B2B"/>
    <w:rsid w:val="005A78E7"/>
    <w:rsid w:val="005A7CBE"/>
    <w:rsid w:val="005B0A26"/>
    <w:rsid w:val="005B0EAD"/>
    <w:rsid w:val="005B0FE9"/>
    <w:rsid w:val="005B1055"/>
    <w:rsid w:val="005B14E3"/>
    <w:rsid w:val="005B3047"/>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E0673"/>
    <w:rsid w:val="005E08F6"/>
    <w:rsid w:val="005E141B"/>
    <w:rsid w:val="005E2121"/>
    <w:rsid w:val="005E310E"/>
    <w:rsid w:val="005E38A7"/>
    <w:rsid w:val="005E45CC"/>
    <w:rsid w:val="005E509C"/>
    <w:rsid w:val="005E5629"/>
    <w:rsid w:val="005E5F23"/>
    <w:rsid w:val="005E63E9"/>
    <w:rsid w:val="005E6CC2"/>
    <w:rsid w:val="005E7B57"/>
    <w:rsid w:val="005F0152"/>
    <w:rsid w:val="005F043B"/>
    <w:rsid w:val="005F184D"/>
    <w:rsid w:val="005F25DB"/>
    <w:rsid w:val="005F2ECC"/>
    <w:rsid w:val="005F3F0D"/>
    <w:rsid w:val="005F494D"/>
    <w:rsid w:val="005F6CB3"/>
    <w:rsid w:val="005F6FCD"/>
    <w:rsid w:val="005F7856"/>
    <w:rsid w:val="006011B5"/>
    <w:rsid w:val="00602607"/>
    <w:rsid w:val="00602834"/>
    <w:rsid w:val="00602A02"/>
    <w:rsid w:val="00602B83"/>
    <w:rsid w:val="00603168"/>
    <w:rsid w:val="006035D2"/>
    <w:rsid w:val="00606224"/>
    <w:rsid w:val="0060676E"/>
    <w:rsid w:val="00606A30"/>
    <w:rsid w:val="0060786A"/>
    <w:rsid w:val="0061023C"/>
    <w:rsid w:val="00611C10"/>
    <w:rsid w:val="00612F47"/>
    <w:rsid w:val="00613C6E"/>
    <w:rsid w:val="006152AB"/>
    <w:rsid w:val="00615439"/>
    <w:rsid w:val="00615C2C"/>
    <w:rsid w:val="00617131"/>
    <w:rsid w:val="00617306"/>
    <w:rsid w:val="00617522"/>
    <w:rsid w:val="006203B6"/>
    <w:rsid w:val="00620F0D"/>
    <w:rsid w:val="006215A0"/>
    <w:rsid w:val="00622CA4"/>
    <w:rsid w:val="006257CB"/>
    <w:rsid w:val="00625968"/>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1E7"/>
    <w:rsid w:val="006402DF"/>
    <w:rsid w:val="00641C7D"/>
    <w:rsid w:val="006428FD"/>
    <w:rsid w:val="006438EE"/>
    <w:rsid w:val="00644224"/>
    <w:rsid w:val="00645E03"/>
    <w:rsid w:val="00646216"/>
    <w:rsid w:val="00646E52"/>
    <w:rsid w:val="00647815"/>
    <w:rsid w:val="00650650"/>
    <w:rsid w:val="006511F0"/>
    <w:rsid w:val="0065179F"/>
    <w:rsid w:val="00651CFD"/>
    <w:rsid w:val="00652156"/>
    <w:rsid w:val="00654027"/>
    <w:rsid w:val="0065430B"/>
    <w:rsid w:val="00654642"/>
    <w:rsid w:val="006555B6"/>
    <w:rsid w:val="006558B3"/>
    <w:rsid w:val="0065627C"/>
    <w:rsid w:val="0065796C"/>
    <w:rsid w:val="006608D3"/>
    <w:rsid w:val="00661093"/>
    <w:rsid w:val="006610A8"/>
    <w:rsid w:val="0066185D"/>
    <w:rsid w:val="00661DD2"/>
    <w:rsid w:val="006623F5"/>
    <w:rsid w:val="006628A9"/>
    <w:rsid w:val="0066303D"/>
    <w:rsid w:val="00664BC0"/>
    <w:rsid w:val="00665C1E"/>
    <w:rsid w:val="0066611F"/>
    <w:rsid w:val="00666931"/>
    <w:rsid w:val="006717B5"/>
    <w:rsid w:val="006725B9"/>
    <w:rsid w:val="0067326A"/>
    <w:rsid w:val="00673EF1"/>
    <w:rsid w:val="006740D1"/>
    <w:rsid w:val="00674926"/>
    <w:rsid w:val="00675245"/>
    <w:rsid w:val="00675296"/>
    <w:rsid w:val="006755C6"/>
    <w:rsid w:val="00675EB6"/>
    <w:rsid w:val="00676B1F"/>
    <w:rsid w:val="00676BDD"/>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20D3"/>
    <w:rsid w:val="006932C6"/>
    <w:rsid w:val="00693449"/>
    <w:rsid w:val="00696D6A"/>
    <w:rsid w:val="006976BC"/>
    <w:rsid w:val="00697C12"/>
    <w:rsid w:val="006A0BFD"/>
    <w:rsid w:val="006A13D0"/>
    <w:rsid w:val="006A1409"/>
    <w:rsid w:val="006A2886"/>
    <w:rsid w:val="006A2EBF"/>
    <w:rsid w:val="006A30A5"/>
    <w:rsid w:val="006A3146"/>
    <w:rsid w:val="006A3318"/>
    <w:rsid w:val="006A43CE"/>
    <w:rsid w:val="006A4679"/>
    <w:rsid w:val="006A47D8"/>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086E"/>
    <w:rsid w:val="006C1A2B"/>
    <w:rsid w:val="006C2061"/>
    <w:rsid w:val="006C30FE"/>
    <w:rsid w:val="006C35AB"/>
    <w:rsid w:val="006C3635"/>
    <w:rsid w:val="006C5965"/>
    <w:rsid w:val="006C7168"/>
    <w:rsid w:val="006D04D0"/>
    <w:rsid w:val="006D0DA9"/>
    <w:rsid w:val="006D143F"/>
    <w:rsid w:val="006D1926"/>
    <w:rsid w:val="006D3F91"/>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5B66"/>
    <w:rsid w:val="00717096"/>
    <w:rsid w:val="0071746A"/>
    <w:rsid w:val="007178DC"/>
    <w:rsid w:val="00717C9A"/>
    <w:rsid w:val="00717D39"/>
    <w:rsid w:val="00720EA6"/>
    <w:rsid w:val="007219EE"/>
    <w:rsid w:val="00722F29"/>
    <w:rsid w:val="00723010"/>
    <w:rsid w:val="0072333C"/>
    <w:rsid w:val="0072536F"/>
    <w:rsid w:val="007268D8"/>
    <w:rsid w:val="00727650"/>
    <w:rsid w:val="00727A3A"/>
    <w:rsid w:val="00727D7F"/>
    <w:rsid w:val="00730BA4"/>
    <w:rsid w:val="0073129A"/>
    <w:rsid w:val="00731B3C"/>
    <w:rsid w:val="0073502C"/>
    <w:rsid w:val="00736339"/>
    <w:rsid w:val="00736F6D"/>
    <w:rsid w:val="007400E0"/>
    <w:rsid w:val="00740F8D"/>
    <w:rsid w:val="007416FA"/>
    <w:rsid w:val="00741965"/>
    <w:rsid w:val="007425EA"/>
    <w:rsid w:val="00742A71"/>
    <w:rsid w:val="0074316B"/>
    <w:rsid w:val="00743643"/>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70DF8"/>
    <w:rsid w:val="00771235"/>
    <w:rsid w:val="00771E9F"/>
    <w:rsid w:val="00771EFE"/>
    <w:rsid w:val="0077277E"/>
    <w:rsid w:val="00772AC8"/>
    <w:rsid w:val="00772F01"/>
    <w:rsid w:val="00773562"/>
    <w:rsid w:val="00773654"/>
    <w:rsid w:val="00773B8F"/>
    <w:rsid w:val="00774C5E"/>
    <w:rsid w:val="0077538D"/>
    <w:rsid w:val="00775CC6"/>
    <w:rsid w:val="00776AA0"/>
    <w:rsid w:val="00777389"/>
    <w:rsid w:val="00777399"/>
    <w:rsid w:val="0077741E"/>
    <w:rsid w:val="00777ABD"/>
    <w:rsid w:val="00780309"/>
    <w:rsid w:val="007803CF"/>
    <w:rsid w:val="0078042E"/>
    <w:rsid w:val="007808FD"/>
    <w:rsid w:val="00781AFD"/>
    <w:rsid w:val="00781DDA"/>
    <w:rsid w:val="007825A0"/>
    <w:rsid w:val="007827ED"/>
    <w:rsid w:val="0078336C"/>
    <w:rsid w:val="00786C66"/>
    <w:rsid w:val="00786D6C"/>
    <w:rsid w:val="00786DB5"/>
    <w:rsid w:val="00787341"/>
    <w:rsid w:val="00790A34"/>
    <w:rsid w:val="0079248F"/>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039"/>
    <w:rsid w:val="007B27F1"/>
    <w:rsid w:val="007B368A"/>
    <w:rsid w:val="007B454E"/>
    <w:rsid w:val="007B45D4"/>
    <w:rsid w:val="007C1EB1"/>
    <w:rsid w:val="007C2116"/>
    <w:rsid w:val="007C21B0"/>
    <w:rsid w:val="007C2E82"/>
    <w:rsid w:val="007C376C"/>
    <w:rsid w:val="007C3D4D"/>
    <w:rsid w:val="007C3FE0"/>
    <w:rsid w:val="007C5161"/>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D79BD"/>
    <w:rsid w:val="007E0855"/>
    <w:rsid w:val="007E096F"/>
    <w:rsid w:val="007E18CB"/>
    <w:rsid w:val="007E28CB"/>
    <w:rsid w:val="007E2E05"/>
    <w:rsid w:val="007E3427"/>
    <w:rsid w:val="007E47C7"/>
    <w:rsid w:val="007E51EE"/>
    <w:rsid w:val="007E606D"/>
    <w:rsid w:val="007E6D78"/>
    <w:rsid w:val="007E77E1"/>
    <w:rsid w:val="007F0880"/>
    <w:rsid w:val="007F0BFF"/>
    <w:rsid w:val="007F11F3"/>
    <w:rsid w:val="007F129B"/>
    <w:rsid w:val="007F2A53"/>
    <w:rsid w:val="007F38AA"/>
    <w:rsid w:val="007F4FB9"/>
    <w:rsid w:val="007F56C5"/>
    <w:rsid w:val="007F5A05"/>
    <w:rsid w:val="007F5AB7"/>
    <w:rsid w:val="007F5EDB"/>
    <w:rsid w:val="007F5FFC"/>
    <w:rsid w:val="007F6C6D"/>
    <w:rsid w:val="007F7D53"/>
    <w:rsid w:val="007F7EB1"/>
    <w:rsid w:val="008007C9"/>
    <w:rsid w:val="00800CD4"/>
    <w:rsid w:val="008023BF"/>
    <w:rsid w:val="008037B3"/>
    <w:rsid w:val="00803BBD"/>
    <w:rsid w:val="00804E41"/>
    <w:rsid w:val="00804EE5"/>
    <w:rsid w:val="008066D8"/>
    <w:rsid w:val="00807BE2"/>
    <w:rsid w:val="0081079D"/>
    <w:rsid w:val="00810D75"/>
    <w:rsid w:val="008113B1"/>
    <w:rsid w:val="00811BB8"/>
    <w:rsid w:val="008129CE"/>
    <w:rsid w:val="008138C4"/>
    <w:rsid w:val="00813904"/>
    <w:rsid w:val="008146B6"/>
    <w:rsid w:val="00814B92"/>
    <w:rsid w:val="00817358"/>
    <w:rsid w:val="008176AC"/>
    <w:rsid w:val="008206B6"/>
    <w:rsid w:val="008211EC"/>
    <w:rsid w:val="0082167F"/>
    <w:rsid w:val="00822D2B"/>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E8"/>
    <w:rsid w:val="00840ACE"/>
    <w:rsid w:val="008413D1"/>
    <w:rsid w:val="00841F17"/>
    <w:rsid w:val="008427B8"/>
    <w:rsid w:val="0084339C"/>
    <w:rsid w:val="0084344A"/>
    <w:rsid w:val="00844713"/>
    <w:rsid w:val="00844D63"/>
    <w:rsid w:val="00845612"/>
    <w:rsid w:val="008459AF"/>
    <w:rsid w:val="00845D85"/>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F91"/>
    <w:rsid w:val="00865457"/>
    <w:rsid w:val="008659E5"/>
    <w:rsid w:val="00866306"/>
    <w:rsid w:val="00867E60"/>
    <w:rsid w:val="008716A9"/>
    <w:rsid w:val="0087176E"/>
    <w:rsid w:val="008725EE"/>
    <w:rsid w:val="0087260C"/>
    <w:rsid w:val="00873706"/>
    <w:rsid w:val="0087382F"/>
    <w:rsid w:val="00874F0E"/>
    <w:rsid w:val="0087514F"/>
    <w:rsid w:val="00875C52"/>
    <w:rsid w:val="00876318"/>
    <w:rsid w:val="0087674B"/>
    <w:rsid w:val="00876BAA"/>
    <w:rsid w:val="00876C54"/>
    <w:rsid w:val="0087724B"/>
    <w:rsid w:val="008779A1"/>
    <w:rsid w:val="00877B97"/>
    <w:rsid w:val="00877CDF"/>
    <w:rsid w:val="008800A9"/>
    <w:rsid w:val="00880284"/>
    <w:rsid w:val="008802F0"/>
    <w:rsid w:val="00880F45"/>
    <w:rsid w:val="00881CE9"/>
    <w:rsid w:val="00882A69"/>
    <w:rsid w:val="0088676E"/>
    <w:rsid w:val="0088703A"/>
    <w:rsid w:val="00887BDD"/>
    <w:rsid w:val="00890A2B"/>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29E"/>
    <w:rsid w:val="008A4AA9"/>
    <w:rsid w:val="008A5DA3"/>
    <w:rsid w:val="008A70CC"/>
    <w:rsid w:val="008A7139"/>
    <w:rsid w:val="008A71AD"/>
    <w:rsid w:val="008A76D3"/>
    <w:rsid w:val="008A7DD1"/>
    <w:rsid w:val="008B0452"/>
    <w:rsid w:val="008B1388"/>
    <w:rsid w:val="008B1E99"/>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E4A"/>
    <w:rsid w:val="008E1B57"/>
    <w:rsid w:val="008E2252"/>
    <w:rsid w:val="008E32E9"/>
    <w:rsid w:val="008E3555"/>
    <w:rsid w:val="008E3FD6"/>
    <w:rsid w:val="008E4146"/>
    <w:rsid w:val="008E41CB"/>
    <w:rsid w:val="008E445D"/>
    <w:rsid w:val="008E45EF"/>
    <w:rsid w:val="008E6C4A"/>
    <w:rsid w:val="008F01EE"/>
    <w:rsid w:val="008F02C8"/>
    <w:rsid w:val="008F27A3"/>
    <w:rsid w:val="008F2F9A"/>
    <w:rsid w:val="008F30CB"/>
    <w:rsid w:val="008F3A6A"/>
    <w:rsid w:val="008F45BD"/>
    <w:rsid w:val="008F46E2"/>
    <w:rsid w:val="008F4DE4"/>
    <w:rsid w:val="008F5662"/>
    <w:rsid w:val="008F5B86"/>
    <w:rsid w:val="008F6163"/>
    <w:rsid w:val="008F6248"/>
    <w:rsid w:val="008F6387"/>
    <w:rsid w:val="008F68DD"/>
    <w:rsid w:val="00900428"/>
    <w:rsid w:val="0090186E"/>
    <w:rsid w:val="009019AB"/>
    <w:rsid w:val="00901B0D"/>
    <w:rsid w:val="00901FEC"/>
    <w:rsid w:val="009027B8"/>
    <w:rsid w:val="00903AF6"/>
    <w:rsid w:val="00903F22"/>
    <w:rsid w:val="0090432B"/>
    <w:rsid w:val="009047F4"/>
    <w:rsid w:val="00904A50"/>
    <w:rsid w:val="009066B2"/>
    <w:rsid w:val="00906E8E"/>
    <w:rsid w:val="00907B0B"/>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6B28"/>
    <w:rsid w:val="00927859"/>
    <w:rsid w:val="009301CC"/>
    <w:rsid w:val="00930544"/>
    <w:rsid w:val="0093462A"/>
    <w:rsid w:val="009358F6"/>
    <w:rsid w:val="00935BBC"/>
    <w:rsid w:val="00935BC4"/>
    <w:rsid w:val="00937616"/>
    <w:rsid w:val="00937889"/>
    <w:rsid w:val="00937FEE"/>
    <w:rsid w:val="00940D56"/>
    <w:rsid w:val="009417CF"/>
    <w:rsid w:val="00942784"/>
    <w:rsid w:val="00942BA2"/>
    <w:rsid w:val="00942F3C"/>
    <w:rsid w:val="00944DF8"/>
    <w:rsid w:val="00944F3B"/>
    <w:rsid w:val="009457F6"/>
    <w:rsid w:val="00945CB1"/>
    <w:rsid w:val="00946811"/>
    <w:rsid w:val="00946B93"/>
    <w:rsid w:val="00947479"/>
    <w:rsid w:val="0094765D"/>
    <w:rsid w:val="0095076B"/>
    <w:rsid w:val="00952107"/>
    <w:rsid w:val="00952CE2"/>
    <w:rsid w:val="00952F6A"/>
    <w:rsid w:val="009532F1"/>
    <w:rsid w:val="009536CB"/>
    <w:rsid w:val="0095449E"/>
    <w:rsid w:val="00954B3F"/>
    <w:rsid w:val="00955585"/>
    <w:rsid w:val="00956022"/>
    <w:rsid w:val="0095622F"/>
    <w:rsid w:val="0095653C"/>
    <w:rsid w:val="009565CB"/>
    <w:rsid w:val="00956673"/>
    <w:rsid w:val="009566D2"/>
    <w:rsid w:val="00956C77"/>
    <w:rsid w:val="00957249"/>
    <w:rsid w:val="009579A7"/>
    <w:rsid w:val="00961D5D"/>
    <w:rsid w:val="00961F33"/>
    <w:rsid w:val="00962699"/>
    <w:rsid w:val="0096517F"/>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088B"/>
    <w:rsid w:val="00982272"/>
    <w:rsid w:val="00982C01"/>
    <w:rsid w:val="00985221"/>
    <w:rsid w:val="00985FC6"/>
    <w:rsid w:val="00985FD1"/>
    <w:rsid w:val="009861D4"/>
    <w:rsid w:val="009866B5"/>
    <w:rsid w:val="0099046E"/>
    <w:rsid w:val="009906CC"/>
    <w:rsid w:val="00990C85"/>
    <w:rsid w:val="0099211D"/>
    <w:rsid w:val="009921EF"/>
    <w:rsid w:val="0099351F"/>
    <w:rsid w:val="00994313"/>
    <w:rsid w:val="009947F7"/>
    <w:rsid w:val="009A0520"/>
    <w:rsid w:val="009A1856"/>
    <w:rsid w:val="009A1D8E"/>
    <w:rsid w:val="009A2BA2"/>
    <w:rsid w:val="009A2DA3"/>
    <w:rsid w:val="009A2EE1"/>
    <w:rsid w:val="009A2FC5"/>
    <w:rsid w:val="009A3F39"/>
    <w:rsid w:val="009A45E4"/>
    <w:rsid w:val="009A5341"/>
    <w:rsid w:val="009A559C"/>
    <w:rsid w:val="009A5B60"/>
    <w:rsid w:val="009A694E"/>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46"/>
    <w:rsid w:val="009C45A8"/>
    <w:rsid w:val="009C4E26"/>
    <w:rsid w:val="009C5A3F"/>
    <w:rsid w:val="009C61AA"/>
    <w:rsid w:val="009C71D8"/>
    <w:rsid w:val="009C7F40"/>
    <w:rsid w:val="009D0431"/>
    <w:rsid w:val="009D0D0E"/>
    <w:rsid w:val="009D18C1"/>
    <w:rsid w:val="009D1A64"/>
    <w:rsid w:val="009D2103"/>
    <w:rsid w:val="009D2C30"/>
    <w:rsid w:val="009D2C88"/>
    <w:rsid w:val="009D30F5"/>
    <w:rsid w:val="009D32BA"/>
    <w:rsid w:val="009D4391"/>
    <w:rsid w:val="009D5197"/>
    <w:rsid w:val="009D5261"/>
    <w:rsid w:val="009D5985"/>
    <w:rsid w:val="009D7B52"/>
    <w:rsid w:val="009E09D6"/>
    <w:rsid w:val="009E1582"/>
    <w:rsid w:val="009E1986"/>
    <w:rsid w:val="009E38A4"/>
    <w:rsid w:val="009E3F5E"/>
    <w:rsid w:val="009E4161"/>
    <w:rsid w:val="009E5F4A"/>
    <w:rsid w:val="009E6519"/>
    <w:rsid w:val="009E716D"/>
    <w:rsid w:val="009E77CA"/>
    <w:rsid w:val="009E782F"/>
    <w:rsid w:val="009E7E12"/>
    <w:rsid w:val="009F04C3"/>
    <w:rsid w:val="009F12DC"/>
    <w:rsid w:val="009F139A"/>
    <w:rsid w:val="009F1507"/>
    <w:rsid w:val="009F18E8"/>
    <w:rsid w:val="009F20CD"/>
    <w:rsid w:val="009F349A"/>
    <w:rsid w:val="009F49CF"/>
    <w:rsid w:val="009F5D26"/>
    <w:rsid w:val="009F6040"/>
    <w:rsid w:val="009F733E"/>
    <w:rsid w:val="009F7F21"/>
    <w:rsid w:val="00A00304"/>
    <w:rsid w:val="00A00BF6"/>
    <w:rsid w:val="00A01789"/>
    <w:rsid w:val="00A017AE"/>
    <w:rsid w:val="00A01AE5"/>
    <w:rsid w:val="00A01DA5"/>
    <w:rsid w:val="00A0256B"/>
    <w:rsid w:val="00A03A3B"/>
    <w:rsid w:val="00A04509"/>
    <w:rsid w:val="00A046CC"/>
    <w:rsid w:val="00A04954"/>
    <w:rsid w:val="00A0790C"/>
    <w:rsid w:val="00A07DE1"/>
    <w:rsid w:val="00A07F88"/>
    <w:rsid w:val="00A10031"/>
    <w:rsid w:val="00A104A8"/>
    <w:rsid w:val="00A109AE"/>
    <w:rsid w:val="00A10EC2"/>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25F6"/>
    <w:rsid w:val="00A23A00"/>
    <w:rsid w:val="00A24FA2"/>
    <w:rsid w:val="00A260D1"/>
    <w:rsid w:val="00A2663C"/>
    <w:rsid w:val="00A26FFD"/>
    <w:rsid w:val="00A30BD1"/>
    <w:rsid w:val="00A31054"/>
    <w:rsid w:val="00A3137E"/>
    <w:rsid w:val="00A3199B"/>
    <w:rsid w:val="00A33663"/>
    <w:rsid w:val="00A336E5"/>
    <w:rsid w:val="00A339AA"/>
    <w:rsid w:val="00A34E2C"/>
    <w:rsid w:val="00A35C9F"/>
    <w:rsid w:val="00A36F86"/>
    <w:rsid w:val="00A4047C"/>
    <w:rsid w:val="00A40F6C"/>
    <w:rsid w:val="00A417C2"/>
    <w:rsid w:val="00A417F3"/>
    <w:rsid w:val="00A41F2F"/>
    <w:rsid w:val="00A426DF"/>
    <w:rsid w:val="00A43443"/>
    <w:rsid w:val="00A43A5D"/>
    <w:rsid w:val="00A43DA1"/>
    <w:rsid w:val="00A44071"/>
    <w:rsid w:val="00A441E8"/>
    <w:rsid w:val="00A44A46"/>
    <w:rsid w:val="00A454BC"/>
    <w:rsid w:val="00A475E9"/>
    <w:rsid w:val="00A521A6"/>
    <w:rsid w:val="00A52A96"/>
    <w:rsid w:val="00A535B8"/>
    <w:rsid w:val="00A53923"/>
    <w:rsid w:val="00A54F22"/>
    <w:rsid w:val="00A6194F"/>
    <w:rsid w:val="00A619BA"/>
    <w:rsid w:val="00A62207"/>
    <w:rsid w:val="00A62323"/>
    <w:rsid w:val="00A63316"/>
    <w:rsid w:val="00A661A6"/>
    <w:rsid w:val="00A672ED"/>
    <w:rsid w:val="00A67ECE"/>
    <w:rsid w:val="00A71799"/>
    <w:rsid w:val="00A71FD3"/>
    <w:rsid w:val="00A722A0"/>
    <w:rsid w:val="00A7325B"/>
    <w:rsid w:val="00A732F4"/>
    <w:rsid w:val="00A736B5"/>
    <w:rsid w:val="00A73A70"/>
    <w:rsid w:val="00A73EFA"/>
    <w:rsid w:val="00A7458F"/>
    <w:rsid w:val="00A746C3"/>
    <w:rsid w:val="00A74891"/>
    <w:rsid w:val="00A756CC"/>
    <w:rsid w:val="00A7574F"/>
    <w:rsid w:val="00A7615C"/>
    <w:rsid w:val="00A77D3C"/>
    <w:rsid w:val="00A8072C"/>
    <w:rsid w:val="00A8087F"/>
    <w:rsid w:val="00A80DC8"/>
    <w:rsid w:val="00A81C10"/>
    <w:rsid w:val="00A82BE1"/>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1CE1"/>
    <w:rsid w:val="00AB1E4F"/>
    <w:rsid w:val="00AB47D2"/>
    <w:rsid w:val="00AB4853"/>
    <w:rsid w:val="00AB48BA"/>
    <w:rsid w:val="00AB4E70"/>
    <w:rsid w:val="00AB5159"/>
    <w:rsid w:val="00AB5896"/>
    <w:rsid w:val="00AB7A66"/>
    <w:rsid w:val="00AC04F0"/>
    <w:rsid w:val="00AC0C61"/>
    <w:rsid w:val="00AC1787"/>
    <w:rsid w:val="00AC1C51"/>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D8B"/>
    <w:rsid w:val="00AE138A"/>
    <w:rsid w:val="00AE1B99"/>
    <w:rsid w:val="00AE2123"/>
    <w:rsid w:val="00AE2514"/>
    <w:rsid w:val="00AE2541"/>
    <w:rsid w:val="00AE4435"/>
    <w:rsid w:val="00AE447A"/>
    <w:rsid w:val="00AE474C"/>
    <w:rsid w:val="00AE48BB"/>
    <w:rsid w:val="00AE4AFE"/>
    <w:rsid w:val="00AE4C9D"/>
    <w:rsid w:val="00AE5A1F"/>
    <w:rsid w:val="00AE73A5"/>
    <w:rsid w:val="00AE7511"/>
    <w:rsid w:val="00AF0CB0"/>
    <w:rsid w:val="00AF1BA2"/>
    <w:rsid w:val="00AF247B"/>
    <w:rsid w:val="00AF2552"/>
    <w:rsid w:val="00AF3090"/>
    <w:rsid w:val="00AF4EC5"/>
    <w:rsid w:val="00AF5758"/>
    <w:rsid w:val="00AF7A3D"/>
    <w:rsid w:val="00B00C6F"/>
    <w:rsid w:val="00B0159C"/>
    <w:rsid w:val="00B01E35"/>
    <w:rsid w:val="00B027C5"/>
    <w:rsid w:val="00B02BF1"/>
    <w:rsid w:val="00B02ED0"/>
    <w:rsid w:val="00B03DAD"/>
    <w:rsid w:val="00B04307"/>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42D4"/>
    <w:rsid w:val="00B3469C"/>
    <w:rsid w:val="00B34D4D"/>
    <w:rsid w:val="00B353B6"/>
    <w:rsid w:val="00B35AD8"/>
    <w:rsid w:val="00B370D9"/>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1943"/>
    <w:rsid w:val="00B519FD"/>
    <w:rsid w:val="00B52593"/>
    <w:rsid w:val="00B55905"/>
    <w:rsid w:val="00B57BE8"/>
    <w:rsid w:val="00B60828"/>
    <w:rsid w:val="00B6099A"/>
    <w:rsid w:val="00B612E7"/>
    <w:rsid w:val="00B61AF4"/>
    <w:rsid w:val="00B62214"/>
    <w:rsid w:val="00B622E5"/>
    <w:rsid w:val="00B62C42"/>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80D"/>
    <w:rsid w:val="00B77B0D"/>
    <w:rsid w:val="00B77CEC"/>
    <w:rsid w:val="00B8000B"/>
    <w:rsid w:val="00B80A1C"/>
    <w:rsid w:val="00B80C88"/>
    <w:rsid w:val="00B819F3"/>
    <w:rsid w:val="00B81A2B"/>
    <w:rsid w:val="00B81D87"/>
    <w:rsid w:val="00B82914"/>
    <w:rsid w:val="00B83BFD"/>
    <w:rsid w:val="00B84109"/>
    <w:rsid w:val="00B869FC"/>
    <w:rsid w:val="00B87CA9"/>
    <w:rsid w:val="00B917C5"/>
    <w:rsid w:val="00B92ED2"/>
    <w:rsid w:val="00B93290"/>
    <w:rsid w:val="00B934CF"/>
    <w:rsid w:val="00B9452D"/>
    <w:rsid w:val="00B94896"/>
    <w:rsid w:val="00B94EF5"/>
    <w:rsid w:val="00B94EF7"/>
    <w:rsid w:val="00B956AD"/>
    <w:rsid w:val="00B961CA"/>
    <w:rsid w:val="00B96531"/>
    <w:rsid w:val="00B97129"/>
    <w:rsid w:val="00B97AAE"/>
    <w:rsid w:val="00B97CDD"/>
    <w:rsid w:val="00B97F0C"/>
    <w:rsid w:val="00BA0C24"/>
    <w:rsid w:val="00BA16D5"/>
    <w:rsid w:val="00BA1EEE"/>
    <w:rsid w:val="00BA1F7C"/>
    <w:rsid w:val="00BA2266"/>
    <w:rsid w:val="00BA3F02"/>
    <w:rsid w:val="00BA3FC6"/>
    <w:rsid w:val="00BA557D"/>
    <w:rsid w:val="00BA6A39"/>
    <w:rsid w:val="00BA7334"/>
    <w:rsid w:val="00BA7CDE"/>
    <w:rsid w:val="00BA7F73"/>
    <w:rsid w:val="00BB3709"/>
    <w:rsid w:val="00BB57E7"/>
    <w:rsid w:val="00BB60F9"/>
    <w:rsid w:val="00BB6362"/>
    <w:rsid w:val="00BB677A"/>
    <w:rsid w:val="00BB6F55"/>
    <w:rsid w:val="00BC0104"/>
    <w:rsid w:val="00BC049A"/>
    <w:rsid w:val="00BC08DF"/>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78E"/>
    <w:rsid w:val="00BE0826"/>
    <w:rsid w:val="00BE0D14"/>
    <w:rsid w:val="00BE117C"/>
    <w:rsid w:val="00BE26B5"/>
    <w:rsid w:val="00BE3EB9"/>
    <w:rsid w:val="00BE4125"/>
    <w:rsid w:val="00BE4376"/>
    <w:rsid w:val="00BE5CF3"/>
    <w:rsid w:val="00BE6A25"/>
    <w:rsid w:val="00BE6A7C"/>
    <w:rsid w:val="00BE6BAD"/>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3ACC"/>
    <w:rsid w:val="00C13EAC"/>
    <w:rsid w:val="00C154B6"/>
    <w:rsid w:val="00C158F7"/>
    <w:rsid w:val="00C15FF8"/>
    <w:rsid w:val="00C16BCE"/>
    <w:rsid w:val="00C16E09"/>
    <w:rsid w:val="00C16FB9"/>
    <w:rsid w:val="00C173E2"/>
    <w:rsid w:val="00C20F61"/>
    <w:rsid w:val="00C21595"/>
    <w:rsid w:val="00C22960"/>
    <w:rsid w:val="00C22DF8"/>
    <w:rsid w:val="00C2363B"/>
    <w:rsid w:val="00C24ABE"/>
    <w:rsid w:val="00C24F6E"/>
    <w:rsid w:val="00C25D31"/>
    <w:rsid w:val="00C260EC"/>
    <w:rsid w:val="00C30AA4"/>
    <w:rsid w:val="00C30CB0"/>
    <w:rsid w:val="00C319E1"/>
    <w:rsid w:val="00C3201B"/>
    <w:rsid w:val="00C325F6"/>
    <w:rsid w:val="00C33E0F"/>
    <w:rsid w:val="00C33FBC"/>
    <w:rsid w:val="00C34ED5"/>
    <w:rsid w:val="00C3530E"/>
    <w:rsid w:val="00C36815"/>
    <w:rsid w:val="00C379CA"/>
    <w:rsid w:val="00C379CE"/>
    <w:rsid w:val="00C37A50"/>
    <w:rsid w:val="00C40413"/>
    <w:rsid w:val="00C43C37"/>
    <w:rsid w:val="00C449F8"/>
    <w:rsid w:val="00C44CB7"/>
    <w:rsid w:val="00C451CC"/>
    <w:rsid w:val="00C45850"/>
    <w:rsid w:val="00C45B92"/>
    <w:rsid w:val="00C4626E"/>
    <w:rsid w:val="00C47572"/>
    <w:rsid w:val="00C47805"/>
    <w:rsid w:val="00C47A28"/>
    <w:rsid w:val="00C47C37"/>
    <w:rsid w:val="00C5007F"/>
    <w:rsid w:val="00C50A12"/>
    <w:rsid w:val="00C50ED1"/>
    <w:rsid w:val="00C516A3"/>
    <w:rsid w:val="00C52093"/>
    <w:rsid w:val="00C54450"/>
    <w:rsid w:val="00C54939"/>
    <w:rsid w:val="00C54D3D"/>
    <w:rsid w:val="00C54E98"/>
    <w:rsid w:val="00C5563F"/>
    <w:rsid w:val="00C56329"/>
    <w:rsid w:val="00C57300"/>
    <w:rsid w:val="00C573EC"/>
    <w:rsid w:val="00C57BCF"/>
    <w:rsid w:val="00C603E1"/>
    <w:rsid w:val="00C62B07"/>
    <w:rsid w:val="00C647A8"/>
    <w:rsid w:val="00C64E5C"/>
    <w:rsid w:val="00C65F49"/>
    <w:rsid w:val="00C6617B"/>
    <w:rsid w:val="00C674D2"/>
    <w:rsid w:val="00C67765"/>
    <w:rsid w:val="00C67E2D"/>
    <w:rsid w:val="00C67F67"/>
    <w:rsid w:val="00C67F6C"/>
    <w:rsid w:val="00C705A2"/>
    <w:rsid w:val="00C70AC3"/>
    <w:rsid w:val="00C70AFB"/>
    <w:rsid w:val="00C71E90"/>
    <w:rsid w:val="00C72C5F"/>
    <w:rsid w:val="00C72F14"/>
    <w:rsid w:val="00C750BB"/>
    <w:rsid w:val="00C754AA"/>
    <w:rsid w:val="00C757DD"/>
    <w:rsid w:val="00C75CB7"/>
    <w:rsid w:val="00C769E2"/>
    <w:rsid w:val="00C777DF"/>
    <w:rsid w:val="00C821F1"/>
    <w:rsid w:val="00C82E8A"/>
    <w:rsid w:val="00C83853"/>
    <w:rsid w:val="00C8386C"/>
    <w:rsid w:val="00C83AD9"/>
    <w:rsid w:val="00C83BCD"/>
    <w:rsid w:val="00C8428C"/>
    <w:rsid w:val="00C85297"/>
    <w:rsid w:val="00C8566D"/>
    <w:rsid w:val="00C86659"/>
    <w:rsid w:val="00C871CA"/>
    <w:rsid w:val="00C90D83"/>
    <w:rsid w:val="00C90FE3"/>
    <w:rsid w:val="00C9126E"/>
    <w:rsid w:val="00C91581"/>
    <w:rsid w:val="00C9165C"/>
    <w:rsid w:val="00C92263"/>
    <w:rsid w:val="00C92B18"/>
    <w:rsid w:val="00C92D48"/>
    <w:rsid w:val="00C93290"/>
    <w:rsid w:val="00C93A2C"/>
    <w:rsid w:val="00C94C87"/>
    <w:rsid w:val="00C952EB"/>
    <w:rsid w:val="00C95F57"/>
    <w:rsid w:val="00C96BC2"/>
    <w:rsid w:val="00C979FE"/>
    <w:rsid w:val="00C97B9E"/>
    <w:rsid w:val="00C97E28"/>
    <w:rsid w:val="00CA0FDE"/>
    <w:rsid w:val="00CA1C39"/>
    <w:rsid w:val="00CA2D1C"/>
    <w:rsid w:val="00CA2E65"/>
    <w:rsid w:val="00CA3200"/>
    <w:rsid w:val="00CA3BF9"/>
    <w:rsid w:val="00CA3D4E"/>
    <w:rsid w:val="00CA406E"/>
    <w:rsid w:val="00CA44F9"/>
    <w:rsid w:val="00CA5E21"/>
    <w:rsid w:val="00CA7144"/>
    <w:rsid w:val="00CA78DB"/>
    <w:rsid w:val="00CB004F"/>
    <w:rsid w:val="00CB0542"/>
    <w:rsid w:val="00CB15E3"/>
    <w:rsid w:val="00CB1967"/>
    <w:rsid w:val="00CB1A60"/>
    <w:rsid w:val="00CB37A1"/>
    <w:rsid w:val="00CB42B9"/>
    <w:rsid w:val="00CB42C9"/>
    <w:rsid w:val="00CB4933"/>
    <w:rsid w:val="00CB57ED"/>
    <w:rsid w:val="00CB5C13"/>
    <w:rsid w:val="00CB6360"/>
    <w:rsid w:val="00CB70AB"/>
    <w:rsid w:val="00CC0E8D"/>
    <w:rsid w:val="00CC2815"/>
    <w:rsid w:val="00CC2A55"/>
    <w:rsid w:val="00CC2EAC"/>
    <w:rsid w:val="00CC33A3"/>
    <w:rsid w:val="00CC4D44"/>
    <w:rsid w:val="00CC5173"/>
    <w:rsid w:val="00CC58E2"/>
    <w:rsid w:val="00CC73D0"/>
    <w:rsid w:val="00CD1068"/>
    <w:rsid w:val="00CD160C"/>
    <w:rsid w:val="00CD196A"/>
    <w:rsid w:val="00CD277B"/>
    <w:rsid w:val="00CD27C3"/>
    <w:rsid w:val="00CD30E4"/>
    <w:rsid w:val="00CD34F8"/>
    <w:rsid w:val="00CD35D9"/>
    <w:rsid w:val="00CD45C7"/>
    <w:rsid w:val="00CD6643"/>
    <w:rsid w:val="00CD698E"/>
    <w:rsid w:val="00CD6E29"/>
    <w:rsid w:val="00CD6FB0"/>
    <w:rsid w:val="00CD7940"/>
    <w:rsid w:val="00CE0267"/>
    <w:rsid w:val="00CE0FE9"/>
    <w:rsid w:val="00CE14F6"/>
    <w:rsid w:val="00CE2272"/>
    <w:rsid w:val="00CE26F8"/>
    <w:rsid w:val="00CE35A0"/>
    <w:rsid w:val="00CE370F"/>
    <w:rsid w:val="00CE4882"/>
    <w:rsid w:val="00CE533E"/>
    <w:rsid w:val="00CE692E"/>
    <w:rsid w:val="00CE6B42"/>
    <w:rsid w:val="00CE741B"/>
    <w:rsid w:val="00CF1C32"/>
    <w:rsid w:val="00CF30BC"/>
    <w:rsid w:val="00CF522B"/>
    <w:rsid w:val="00CF5B00"/>
    <w:rsid w:val="00CF5FA4"/>
    <w:rsid w:val="00CF64CB"/>
    <w:rsid w:val="00CF6BB4"/>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406A"/>
    <w:rsid w:val="00D24FAC"/>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60E4"/>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6740"/>
    <w:rsid w:val="00D56CE5"/>
    <w:rsid w:val="00D57E2E"/>
    <w:rsid w:val="00D6205A"/>
    <w:rsid w:val="00D6274A"/>
    <w:rsid w:val="00D62CC3"/>
    <w:rsid w:val="00D65722"/>
    <w:rsid w:val="00D66B12"/>
    <w:rsid w:val="00D66CA0"/>
    <w:rsid w:val="00D677C1"/>
    <w:rsid w:val="00D67EDD"/>
    <w:rsid w:val="00D70956"/>
    <w:rsid w:val="00D70F5C"/>
    <w:rsid w:val="00D7168B"/>
    <w:rsid w:val="00D7176D"/>
    <w:rsid w:val="00D75087"/>
    <w:rsid w:val="00D75A3F"/>
    <w:rsid w:val="00D7614A"/>
    <w:rsid w:val="00D762D9"/>
    <w:rsid w:val="00D7721A"/>
    <w:rsid w:val="00D7732C"/>
    <w:rsid w:val="00D7749D"/>
    <w:rsid w:val="00D775AC"/>
    <w:rsid w:val="00D775EC"/>
    <w:rsid w:val="00D814E9"/>
    <w:rsid w:val="00D81B09"/>
    <w:rsid w:val="00D8325B"/>
    <w:rsid w:val="00D838AB"/>
    <w:rsid w:val="00D83E98"/>
    <w:rsid w:val="00D8467B"/>
    <w:rsid w:val="00D84720"/>
    <w:rsid w:val="00D851F7"/>
    <w:rsid w:val="00D852D7"/>
    <w:rsid w:val="00D8555E"/>
    <w:rsid w:val="00D86169"/>
    <w:rsid w:val="00D8639D"/>
    <w:rsid w:val="00D869AB"/>
    <w:rsid w:val="00D90365"/>
    <w:rsid w:val="00D9145D"/>
    <w:rsid w:val="00D92692"/>
    <w:rsid w:val="00D93629"/>
    <w:rsid w:val="00D93AFA"/>
    <w:rsid w:val="00D93C64"/>
    <w:rsid w:val="00D93E7A"/>
    <w:rsid w:val="00D94595"/>
    <w:rsid w:val="00D94D4A"/>
    <w:rsid w:val="00D9542D"/>
    <w:rsid w:val="00D955D7"/>
    <w:rsid w:val="00DA17A9"/>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36D3"/>
    <w:rsid w:val="00DC37C1"/>
    <w:rsid w:val="00DC50BF"/>
    <w:rsid w:val="00DC57E9"/>
    <w:rsid w:val="00DC5890"/>
    <w:rsid w:val="00DC63C7"/>
    <w:rsid w:val="00DC64EA"/>
    <w:rsid w:val="00DC7F12"/>
    <w:rsid w:val="00DD0D83"/>
    <w:rsid w:val="00DD0E16"/>
    <w:rsid w:val="00DD0E28"/>
    <w:rsid w:val="00DD0FB6"/>
    <w:rsid w:val="00DD10CA"/>
    <w:rsid w:val="00DD16C7"/>
    <w:rsid w:val="00DD3826"/>
    <w:rsid w:val="00DD530D"/>
    <w:rsid w:val="00DD592D"/>
    <w:rsid w:val="00DD5AA3"/>
    <w:rsid w:val="00DD5E0F"/>
    <w:rsid w:val="00DD6B4F"/>
    <w:rsid w:val="00DD6F90"/>
    <w:rsid w:val="00DE158E"/>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C6D"/>
    <w:rsid w:val="00DF3E80"/>
    <w:rsid w:val="00DF6052"/>
    <w:rsid w:val="00DF70D4"/>
    <w:rsid w:val="00DF72FA"/>
    <w:rsid w:val="00E001BE"/>
    <w:rsid w:val="00E00691"/>
    <w:rsid w:val="00E014F5"/>
    <w:rsid w:val="00E0239E"/>
    <w:rsid w:val="00E0241B"/>
    <w:rsid w:val="00E02D0D"/>
    <w:rsid w:val="00E042F0"/>
    <w:rsid w:val="00E04955"/>
    <w:rsid w:val="00E052C8"/>
    <w:rsid w:val="00E05D61"/>
    <w:rsid w:val="00E068B6"/>
    <w:rsid w:val="00E07466"/>
    <w:rsid w:val="00E07751"/>
    <w:rsid w:val="00E077D7"/>
    <w:rsid w:val="00E11003"/>
    <w:rsid w:val="00E12186"/>
    <w:rsid w:val="00E1388D"/>
    <w:rsid w:val="00E13A92"/>
    <w:rsid w:val="00E14EF5"/>
    <w:rsid w:val="00E14FE3"/>
    <w:rsid w:val="00E160DC"/>
    <w:rsid w:val="00E174C9"/>
    <w:rsid w:val="00E1758A"/>
    <w:rsid w:val="00E17FA5"/>
    <w:rsid w:val="00E205CD"/>
    <w:rsid w:val="00E21460"/>
    <w:rsid w:val="00E217EC"/>
    <w:rsid w:val="00E22DFC"/>
    <w:rsid w:val="00E230CE"/>
    <w:rsid w:val="00E24308"/>
    <w:rsid w:val="00E25979"/>
    <w:rsid w:val="00E2631F"/>
    <w:rsid w:val="00E26674"/>
    <w:rsid w:val="00E268D0"/>
    <w:rsid w:val="00E273A9"/>
    <w:rsid w:val="00E30AB9"/>
    <w:rsid w:val="00E31356"/>
    <w:rsid w:val="00E31576"/>
    <w:rsid w:val="00E3210B"/>
    <w:rsid w:val="00E325CB"/>
    <w:rsid w:val="00E32688"/>
    <w:rsid w:val="00E34200"/>
    <w:rsid w:val="00E36492"/>
    <w:rsid w:val="00E36FA6"/>
    <w:rsid w:val="00E3772C"/>
    <w:rsid w:val="00E37797"/>
    <w:rsid w:val="00E40018"/>
    <w:rsid w:val="00E4030F"/>
    <w:rsid w:val="00E41668"/>
    <w:rsid w:val="00E41B2C"/>
    <w:rsid w:val="00E41F06"/>
    <w:rsid w:val="00E42041"/>
    <w:rsid w:val="00E421AC"/>
    <w:rsid w:val="00E42AC6"/>
    <w:rsid w:val="00E43C87"/>
    <w:rsid w:val="00E445BB"/>
    <w:rsid w:val="00E44A17"/>
    <w:rsid w:val="00E45145"/>
    <w:rsid w:val="00E4593F"/>
    <w:rsid w:val="00E507B2"/>
    <w:rsid w:val="00E50948"/>
    <w:rsid w:val="00E51805"/>
    <w:rsid w:val="00E51CAD"/>
    <w:rsid w:val="00E5294A"/>
    <w:rsid w:val="00E533D5"/>
    <w:rsid w:val="00E5696B"/>
    <w:rsid w:val="00E5755A"/>
    <w:rsid w:val="00E57950"/>
    <w:rsid w:val="00E61003"/>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C9E"/>
    <w:rsid w:val="00E75ECA"/>
    <w:rsid w:val="00E76324"/>
    <w:rsid w:val="00E802A4"/>
    <w:rsid w:val="00E8135F"/>
    <w:rsid w:val="00E814DF"/>
    <w:rsid w:val="00E831EB"/>
    <w:rsid w:val="00E86351"/>
    <w:rsid w:val="00E86EDC"/>
    <w:rsid w:val="00E874BD"/>
    <w:rsid w:val="00E90762"/>
    <w:rsid w:val="00E90DE6"/>
    <w:rsid w:val="00E90EF1"/>
    <w:rsid w:val="00E912FF"/>
    <w:rsid w:val="00E91BDA"/>
    <w:rsid w:val="00E92509"/>
    <w:rsid w:val="00E92846"/>
    <w:rsid w:val="00E942B4"/>
    <w:rsid w:val="00E9504D"/>
    <w:rsid w:val="00E95E81"/>
    <w:rsid w:val="00E96E77"/>
    <w:rsid w:val="00E97583"/>
    <w:rsid w:val="00E97C43"/>
    <w:rsid w:val="00EA0AE0"/>
    <w:rsid w:val="00EA2765"/>
    <w:rsid w:val="00EA2902"/>
    <w:rsid w:val="00EA3728"/>
    <w:rsid w:val="00EA38A9"/>
    <w:rsid w:val="00EA5C69"/>
    <w:rsid w:val="00EA69CD"/>
    <w:rsid w:val="00EA780E"/>
    <w:rsid w:val="00EB174E"/>
    <w:rsid w:val="00EB4BC3"/>
    <w:rsid w:val="00EB57A5"/>
    <w:rsid w:val="00EB6673"/>
    <w:rsid w:val="00EB6A1F"/>
    <w:rsid w:val="00EB6E96"/>
    <w:rsid w:val="00EB745E"/>
    <w:rsid w:val="00EB7B31"/>
    <w:rsid w:val="00EB7CC7"/>
    <w:rsid w:val="00EC1188"/>
    <w:rsid w:val="00EC119B"/>
    <w:rsid w:val="00EC1658"/>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726"/>
    <w:rsid w:val="00ED5B3A"/>
    <w:rsid w:val="00ED5E59"/>
    <w:rsid w:val="00ED640B"/>
    <w:rsid w:val="00ED78F3"/>
    <w:rsid w:val="00ED7EC2"/>
    <w:rsid w:val="00EE156A"/>
    <w:rsid w:val="00EE2788"/>
    <w:rsid w:val="00EE288B"/>
    <w:rsid w:val="00EE3061"/>
    <w:rsid w:val="00EE380E"/>
    <w:rsid w:val="00EE475C"/>
    <w:rsid w:val="00EE4D21"/>
    <w:rsid w:val="00EE4D4E"/>
    <w:rsid w:val="00EE4ED2"/>
    <w:rsid w:val="00EE555D"/>
    <w:rsid w:val="00EE6225"/>
    <w:rsid w:val="00EE633E"/>
    <w:rsid w:val="00EE676A"/>
    <w:rsid w:val="00EE6D10"/>
    <w:rsid w:val="00EE7E5D"/>
    <w:rsid w:val="00EF007F"/>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4DE6"/>
    <w:rsid w:val="00F0664D"/>
    <w:rsid w:val="00F06B78"/>
    <w:rsid w:val="00F06F97"/>
    <w:rsid w:val="00F10678"/>
    <w:rsid w:val="00F10D5F"/>
    <w:rsid w:val="00F10E76"/>
    <w:rsid w:val="00F10F34"/>
    <w:rsid w:val="00F1106D"/>
    <w:rsid w:val="00F11664"/>
    <w:rsid w:val="00F1177C"/>
    <w:rsid w:val="00F13B58"/>
    <w:rsid w:val="00F15A1B"/>
    <w:rsid w:val="00F16AE2"/>
    <w:rsid w:val="00F177CD"/>
    <w:rsid w:val="00F17C30"/>
    <w:rsid w:val="00F17D91"/>
    <w:rsid w:val="00F200CD"/>
    <w:rsid w:val="00F20B4E"/>
    <w:rsid w:val="00F221D7"/>
    <w:rsid w:val="00F22F76"/>
    <w:rsid w:val="00F23D27"/>
    <w:rsid w:val="00F242B7"/>
    <w:rsid w:val="00F243EC"/>
    <w:rsid w:val="00F24721"/>
    <w:rsid w:val="00F269A6"/>
    <w:rsid w:val="00F269B9"/>
    <w:rsid w:val="00F30E3C"/>
    <w:rsid w:val="00F31D08"/>
    <w:rsid w:val="00F3215A"/>
    <w:rsid w:val="00F32381"/>
    <w:rsid w:val="00F34FFE"/>
    <w:rsid w:val="00F36310"/>
    <w:rsid w:val="00F36FD5"/>
    <w:rsid w:val="00F37E30"/>
    <w:rsid w:val="00F433B6"/>
    <w:rsid w:val="00F434A4"/>
    <w:rsid w:val="00F43B60"/>
    <w:rsid w:val="00F43FF5"/>
    <w:rsid w:val="00F44F86"/>
    <w:rsid w:val="00F45D45"/>
    <w:rsid w:val="00F4675B"/>
    <w:rsid w:val="00F4708C"/>
    <w:rsid w:val="00F50709"/>
    <w:rsid w:val="00F50EC1"/>
    <w:rsid w:val="00F513E0"/>
    <w:rsid w:val="00F51756"/>
    <w:rsid w:val="00F53245"/>
    <w:rsid w:val="00F53620"/>
    <w:rsid w:val="00F543AC"/>
    <w:rsid w:val="00F5440E"/>
    <w:rsid w:val="00F54497"/>
    <w:rsid w:val="00F54A9E"/>
    <w:rsid w:val="00F54B43"/>
    <w:rsid w:val="00F54BED"/>
    <w:rsid w:val="00F55661"/>
    <w:rsid w:val="00F55A2B"/>
    <w:rsid w:val="00F55EE8"/>
    <w:rsid w:val="00F579C8"/>
    <w:rsid w:val="00F60270"/>
    <w:rsid w:val="00F60DA6"/>
    <w:rsid w:val="00F61056"/>
    <w:rsid w:val="00F61AE5"/>
    <w:rsid w:val="00F6251B"/>
    <w:rsid w:val="00F62FB8"/>
    <w:rsid w:val="00F63080"/>
    <w:rsid w:val="00F6338E"/>
    <w:rsid w:val="00F63D52"/>
    <w:rsid w:val="00F640DB"/>
    <w:rsid w:val="00F64472"/>
    <w:rsid w:val="00F644C2"/>
    <w:rsid w:val="00F65B63"/>
    <w:rsid w:val="00F660D0"/>
    <w:rsid w:val="00F66C20"/>
    <w:rsid w:val="00F66DD8"/>
    <w:rsid w:val="00F671E2"/>
    <w:rsid w:val="00F70B7B"/>
    <w:rsid w:val="00F713C8"/>
    <w:rsid w:val="00F72834"/>
    <w:rsid w:val="00F74569"/>
    <w:rsid w:val="00F75287"/>
    <w:rsid w:val="00F753A8"/>
    <w:rsid w:val="00F75A77"/>
    <w:rsid w:val="00F76CA1"/>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91D48"/>
    <w:rsid w:val="00F92309"/>
    <w:rsid w:val="00F92C01"/>
    <w:rsid w:val="00F95A95"/>
    <w:rsid w:val="00F97ED2"/>
    <w:rsid w:val="00FA00B2"/>
    <w:rsid w:val="00FA16BE"/>
    <w:rsid w:val="00FA198F"/>
    <w:rsid w:val="00FA25C4"/>
    <w:rsid w:val="00FA5381"/>
    <w:rsid w:val="00FA5F90"/>
    <w:rsid w:val="00FA60F2"/>
    <w:rsid w:val="00FA69E8"/>
    <w:rsid w:val="00FA7BFD"/>
    <w:rsid w:val="00FB0BAB"/>
    <w:rsid w:val="00FB22E8"/>
    <w:rsid w:val="00FB3528"/>
    <w:rsid w:val="00FB3A0A"/>
    <w:rsid w:val="00FB4312"/>
    <w:rsid w:val="00FB50B6"/>
    <w:rsid w:val="00FB5F2D"/>
    <w:rsid w:val="00FB6552"/>
    <w:rsid w:val="00FB6EC8"/>
    <w:rsid w:val="00FB7B3F"/>
    <w:rsid w:val="00FC07E5"/>
    <w:rsid w:val="00FC0C09"/>
    <w:rsid w:val="00FC2A97"/>
    <w:rsid w:val="00FC380E"/>
    <w:rsid w:val="00FC6278"/>
    <w:rsid w:val="00FC6FC2"/>
    <w:rsid w:val="00FC7071"/>
    <w:rsid w:val="00FC729B"/>
    <w:rsid w:val="00FC7E55"/>
    <w:rsid w:val="00FD00C8"/>
    <w:rsid w:val="00FD00D1"/>
    <w:rsid w:val="00FD071F"/>
    <w:rsid w:val="00FD0C7C"/>
    <w:rsid w:val="00FD13D4"/>
    <w:rsid w:val="00FD2B9F"/>
    <w:rsid w:val="00FD3937"/>
    <w:rsid w:val="00FD4406"/>
    <w:rsid w:val="00FD5285"/>
    <w:rsid w:val="00FD5541"/>
    <w:rsid w:val="00FD56B5"/>
    <w:rsid w:val="00FD6956"/>
    <w:rsid w:val="00FD6BEA"/>
    <w:rsid w:val="00FD7738"/>
    <w:rsid w:val="00FD78B6"/>
    <w:rsid w:val="00FE14C1"/>
    <w:rsid w:val="00FE225B"/>
    <w:rsid w:val="00FE3DD0"/>
    <w:rsid w:val="00FE3F07"/>
    <w:rsid w:val="00FE429F"/>
    <w:rsid w:val="00FE517C"/>
    <w:rsid w:val="00FE786C"/>
    <w:rsid w:val="00FF032F"/>
    <w:rsid w:val="00FF0460"/>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829"/>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uiPriority w:val="99"/>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uiPriority w:val="99"/>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uiPriority w:val="99"/>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semiHidden/>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99"/>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6602">
      <w:bodyDiv w:val="1"/>
      <w:marLeft w:val="0"/>
      <w:marRight w:val="0"/>
      <w:marTop w:val="0"/>
      <w:marBottom w:val="0"/>
      <w:divBdr>
        <w:top w:val="none" w:sz="0" w:space="0" w:color="auto"/>
        <w:left w:val="none" w:sz="0" w:space="0" w:color="auto"/>
        <w:bottom w:val="none" w:sz="0" w:space="0" w:color="auto"/>
        <w:right w:val="none" w:sz="0" w:space="0" w:color="auto"/>
      </w:divBdr>
    </w:div>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457794515">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1431273451">
      <w:bodyDiv w:val="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gif"/><Relationship Id="rId28" Type="http://schemas.openxmlformats.org/officeDocument/2006/relationships/image" Target="media/image11.wmf"/><Relationship Id="rId36" Type="http://schemas.openxmlformats.org/officeDocument/2006/relationships/oleObject" Target="embeddings/oleObject9.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oleObject" Target="embeddings/oleObject6.bin"/><Relationship Id="rId30" Type="http://schemas.openxmlformats.org/officeDocument/2006/relationships/image" Target="media/image12.png"/><Relationship Id="rId35" Type="http://schemas.openxmlformats.org/officeDocument/2006/relationships/image" Target="media/image16.wmf"/><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F64F-B5EC-42B2-AA5A-E127D097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20574</TotalTime>
  <Pages>13</Pages>
  <Words>2451</Words>
  <Characters>13971</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Matija Modrušan</cp:lastModifiedBy>
  <cp:revision>117</cp:revision>
  <cp:lastPrinted>2013-08-28T10:43:00Z</cp:lastPrinted>
  <dcterms:created xsi:type="dcterms:W3CDTF">2017-03-17T14:20:00Z</dcterms:created>
  <dcterms:modified xsi:type="dcterms:W3CDTF">2022-05-13T10:01:00Z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http://www.zotero.org/styles/chemical-communications</vt:lpwstr>
  </property>
  <property fmtid="{D5CDD505-2E9C-101B-9397-08002B2CF9AE}" pid="17" name="Mendeley Recent Style Name 3_1">
    <vt:lpwstr>Chemical Communications</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