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A33B2F" w:color="auto" w:val="clear"/>
            <w:tcMar>
              <w:top w:type="dxa" w:w="140"/>
              <w:left w:type="dxa" w:w="110"/>
              <w:bottom w:type="dxa" w:w="140"/>
              <w:right w:type="dxa" w:w="110"/>
            </w:tcMar>
            <w:vAlign w:val="center"/>
          </w:tcPr>
          <w:p>
            <w:pPr>
              <w:spacing w:after="40" w:before="0" w:line="260"/>
            </w:pPr>
            <w:r>
              <w:rPr>
                <w:rFonts w:ascii="Arial" w:cs="Arial" w:eastAsia="Arial" w:hAnsi="Arial"/>
                <w:color w:val="FFFFFF"/>
                <w:sz w:val="16"/>
                <w:szCs w:val="16"/>
              </w:rPr>
              <w:t xml:space="preserve">DALJINSKA ISTRAŽIVANJA  ·  Geografski odsjek PMF-a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30"/>
                <w:szCs w:val="30"/>
              </w:rPr>
              <w:t xml:space="preserve">Zadatak: Detekcija promjena pomoću spektralnih indeksa</w:t>
            </w:r>
          </w:p>
        </w:tc>
      </w:tr>
    </w:tbl>
    <w:p>
      <w:pPr>
        <w:spacing w:after="12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0"/>
        <w:gridCol w:w="4204"/>
      </w:tblGrid>
      <w:tr>
        <w:trPr>
          <w:cantSplit/>
        </w:trPr>
        <w:tc>
          <w:tcPr>
            <w:tcW w:type="dxa" w:w="6000"/>
            <w:tcBorders>
              <w:top w:val="none" w:color="FFFFFF" w:sz="0"/>
              <w:left w:val="none" w:color="FFFFFF" w:sz="0"/>
              <w:bottom w:val="single" w:color="333333" w:sz="6"/>
              <w:right w:val="none" w:color="FFFFFF" w:sz="0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bottom"/>
          </w:tcPr>
          <w:p>
            <w:pPr>
              <w:spacing w:after="200" w:before="0" w:line="260"/>
            </w:pPr>
            <w:r>
              <w:rPr>
                <w:rFonts w:ascii="Arial" w:cs="Arial" w:eastAsia="Arial" w:hAnsi="Arial"/>
                <w:color w:val="7F7F7F"/>
                <w:sz w:val="15"/>
                <w:szCs w:val="15"/>
              </w:rPr>
              <w:t xml:space="preserve">Ime i prezime</w:t>
            </w:r>
          </w:p>
        </w:tc>
        <w:tc>
          <w:tcPr>
            <w:tcW w:type="dxa" w:w="420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</w:tbl>
    <w:p>
      <w:pPr>
        <w:keepNext/>
        <w:spacing w:after="80" w:before="200" w:line="260"/>
      </w:pPr>
      <w:r>
        <w:rPr>
          <w:rFonts w:ascii="Arial" w:cs="Arial" w:eastAsia="Arial" w:hAnsi="Arial"/>
          <w:b/>
          <w:bCs/>
          <w:color w:val="A33B2F"/>
          <w:sz w:val="20"/>
          <w:szCs w:val="20"/>
        </w:rPr>
        <w:t xml:space="preserve">ZADATAK</w:t>
      </w:r>
    </w:p>
    <w:p>
      <w:pPr>
        <w:spacing w:after="8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>Odaberite </w:t>
      </w:r>
      <w:r>
        <w:rPr>
          <w:rFonts w:ascii="Arial" w:cs="Arial" w:eastAsia="Arial" w:hAnsi="Arial"/>
          <w:b/>
          <w:bCs/>
          <w:color w:val="333333"/>
          <w:sz w:val="19"/>
          <w:szCs w:val="19"/>
        </w:rPr>
        <w:t xml:space="preserve">dvije</w:t>
      </w:r>
      <w:r>
        <w:rPr>
          <w:rFonts w:ascii="Arial" w:cs="Arial" w:eastAsia="Arial" w:hAnsi="Arial"/>
          <w:color w:val="333333"/>
          <w:sz w:val="19"/>
          <w:szCs w:val="19"/>
        </w:rPr>
        <w:t xml:space="preserve"> od pet tema (označite ☐), za svaku izradite kartu promjene pomoću spektralnog indeksa i ispunite obrazac na drugoj stranici. Cijelo izvješće (obje karte zajedno) neka bude </w:t>
      </w:r>
      <w:r>
        <w:rPr>
          <w:rFonts w:ascii="Arial" w:cs="Arial" w:eastAsia="Arial" w:hAnsi="Arial"/>
          <w:b/>
          <w:bCs/>
          <w:color w:val="333333"/>
          <w:sz w:val="19"/>
          <w:szCs w:val="19"/>
        </w:rPr>
        <w:t xml:space="preserve">najviše pola stranice teksta</w:t>
      </w:r>
      <w:r>
        <w:rPr>
          <w:rFonts w:ascii="Arial" w:cs="Arial" w:eastAsia="Arial" w:hAnsi="Arial"/>
          <w:color w:val="333333"/>
          <w:sz w:val="19"/>
          <w:szCs w:val="19"/>
        </w:rPr>
        <w:t xml:space="preserve">.</w:t>
      </w:r>
    </w:p>
    <w:p>
      <w:pPr>
        <w:spacing w:after="100" w:before="0" w:line="260"/>
      </w:pPr>
      <w:r>
        <w:rPr>
          <w:rFonts w:ascii="Arial" w:cs="Arial" w:eastAsia="Arial" w:hAnsi="Arial"/>
          <w:b/>
          <w:bCs/>
          <w:color w:val="A33B2F"/>
          <w:sz w:val="19"/>
          <w:szCs w:val="19"/>
        </w:rPr>
        <w:t xml:space="preserve">Zadatak napravite do petka 13. 11. 2026.</w:t>
      </w:r>
      <w:r>
        <w:rPr>
          <w:rFonts w:ascii="Arial" w:cs="Arial" w:eastAsia="Arial" w:hAnsi="Arial"/>
          <w:color w:val="333333"/>
          <w:sz w:val="19"/>
          <w:szCs w:val="19"/>
        </w:rPr>
        <w:t xml:space="preserve"> kao vježbu i ponavljanje dosadašnjeg gradiva.</w:t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"/>
        <w:gridCol w:w="3300"/>
        <w:gridCol w:w="1500"/>
        <w:gridCol w:w="1500"/>
        <w:gridCol w:w="3304"/>
      </w:tblGrid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✓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Tema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Indeks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Kanali S2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Snimke (orijentacijski)</w:t>
            </w:r>
          </w:p>
        </w:tc>
      </w:tr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color w:val="333333"/>
                <w:sz w:val="24"/>
                <w:szCs w:val="24"/>
              </w:rPr>
              <w:t xml:space="preserve">☐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1. Požar kod Splita, 17.–18. 7. 2017.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dNBR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B8A, B12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prije: početak srpnja 2017.; poslije: kraj srpnja 2017.</w:t>
            </w:r>
          </w:p>
        </w:tc>
      </w:tr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color w:val="333333"/>
                <w:sz w:val="24"/>
                <w:szCs w:val="24"/>
              </w:rPr>
              <w:t xml:space="preserve">☐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2. Poplava kod Karlovca (Kupa, Korana), vrh vala ~26. 11. 2025.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MNDWI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B3, B11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prije: listopad 2025.; za vrijeme: 25.–30. 11. 2025.</w:t>
            </w:r>
          </w:p>
        </w:tc>
      </w:tr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color w:val="333333"/>
                <w:sz w:val="24"/>
                <w:szCs w:val="24"/>
              </w:rPr>
              <w:t xml:space="preserve">☐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3. Suša 2022. (područje po izboru, npr. Slavonija)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ΔNDVI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B8, B4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srpanj 2021. i srpanj 2022.</w:t>
            </w:r>
          </w:p>
        </w:tc>
      </w:tr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color w:val="333333"/>
                <w:sz w:val="24"/>
                <w:szCs w:val="24"/>
              </w:rPr>
              <w:t xml:space="preserve">☐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4. Širenje naselja oko Zagreba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ΔNDBI, ΔNDVI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B11, B8, B4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ljeto 2016. i ljeto 2025.</w:t>
            </w:r>
          </w:p>
        </w:tc>
      </w:tr>
      <w:tr>
        <w:trPr>
          <w:cantSplit/>
        </w:trPr>
        <w:tc>
          <w:tcPr>
            <w:tcW w:type="dxa" w:w="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  <w:jc w:val="center"/>
            </w:pPr>
            <w:r>
              <w:rPr>
                <w:rFonts w:ascii="Arial" w:cs="Arial" w:eastAsia="Arial" w:hAnsi="Arial"/>
                <w:color w:val="333333"/>
                <w:sz w:val="24"/>
                <w:szCs w:val="24"/>
              </w:rPr>
              <w:t xml:space="preserve">☐</w:t>
            </w:r>
          </w:p>
        </w:tc>
        <w:tc>
          <w:tcPr>
            <w:tcW w:type="dxa" w:w="33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5. Obala (plaža ili ušće po izboru)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MNDWI, NDVI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B3, B11, B8, B4</w:t>
            </w:r>
          </w:p>
        </w:tc>
        <w:tc>
          <w:tcPr>
            <w:tcW w:type="dxa" w:w="33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 w:val="false"/>
                <w:bCs w:val="false"/>
                <w:color w:val="333333"/>
                <w:sz w:val="17"/>
                <w:szCs w:val="17"/>
              </w:rPr>
              <w:t xml:space="preserve">dva ljetna datuma, razmak ≥ 5 godina</w:t>
            </w:r>
          </w:p>
        </w:tc>
      </w:tr>
    </w:tbl>
    <w:p>
      <w:pPr>
        <w:spacing w:after="0" w:before="100" w:line="260"/>
      </w:pPr>
      <w:r>
        <w:rPr>
          <w:rFonts w:ascii="Arial" w:cs="Arial" w:eastAsia="Arial" w:hAnsi="Arial"/>
          <w:i/>
          <w:iCs/>
          <w:color w:val="595959"/>
          <w:sz w:val="16"/>
          <w:szCs w:val="16"/>
        </w:rPr>
        <w:t xml:space="preserve">Karlovac: ako su snimke oblačne, smijete koristiti Sentinel-1 (VV) – mirna voda na radaru je tamna.</w:t>
      </w:r>
    </w:p>
    <w:p>
      <w:pPr>
        <w:keepNext/>
        <w:spacing w:after="80" w:before="200" w:line="260"/>
      </w:pPr>
      <w:r>
        <w:rPr>
          <w:rFonts w:ascii="Arial" w:cs="Arial" w:eastAsia="Arial" w:hAnsi="Arial"/>
          <w:b/>
          <w:bCs/>
          <w:color w:val="A33B2F"/>
          <w:sz w:val="20"/>
          <w:szCs w:val="20"/>
        </w:rPr>
        <w:t xml:space="preserve">POSTUPAK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U Copernicus Browseru (browser.dataspace.copernicus.eu) pronađite Sentinel-2 L2A za oba datuma, oblaci ≤ 10 %.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Preuzmite kanale: Download image → Analytical, TIFF 32-bit float, 10 m (B8A, B11, B12: 20 m), UTM 33N.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U ArcGIS Pro izračunajte indeks za oba datuma (Imagery → Indices ili Raster Calculator).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Izračunajte razliku (Δ = t₂ − t₁; dNBR = prije − poslije) i odredite prag promjene.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Izračunajte površinu promjene u km² (broj piksela × površina piksela; piksel 10 m = 0,0001 km²).</w:t>
      </w:r>
    </w:p>
    <w:p>
      <w:pPr>
        <w:pStyle w:val="ListParagraph"/>
        <w:numPr>
          <w:ilvl w:val="0"/>
          <w:numId w:val="2"/>
        </w:numPr>
        <w:spacing w:after="30" w:before="0" w:line="260"/>
      </w:pPr>
      <w:r>
        <w:rPr>
          <w:rFonts w:ascii="Arial" w:cs="Arial" w:eastAsia="Arial" w:hAnsi="Arial"/>
          <w:color w:val="333333"/>
          <w:sz w:val="18"/>
          <w:szCs w:val="18"/>
        </w:rPr>
        <w:t xml:space="preserve">Izradite kartu u Layoutu.</w:t>
      </w:r>
    </w:p>
    <w:p>
      <w:pPr>
        <w:spacing w:after="6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FEE" w:color="auto" w:val="clear"/>
            <w:tcMar>
              <w:top w:type="dxa" w:w="120"/>
              <w:left w:type="dxa" w:w="110"/>
              <w:bottom w:type="dxa" w:w="120"/>
              <w:right w:type="dxa" w:w="110"/>
            </w:tcMar>
            <w:vAlign w:val="top"/>
          </w:tcPr>
          <w:p>
            <w:pPr>
              <w:spacing w:after="60" w:before="0" w:line="260"/>
            </w:pPr>
            <w:r>
              <w:rPr>
                <w:rFonts w:ascii="Arial" w:cs="Arial" w:eastAsia="Arial" w:hAnsi="Arial"/>
                <w:b/>
                <w:bCs/>
                <w:color w:val="A33B2F"/>
                <w:sz w:val="18"/>
                <w:szCs w:val="18"/>
              </w:rPr>
              <w:t xml:space="preserve">Svaka karta mora imati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color w:val="A33B2F"/>
                <w:sz w:val="17"/>
                <w:szCs w:val="17"/>
              </w:rPr>
              <w:t xml:space="preserve">▪ </w:t>
            </w:r>
            <w:r>
              <w:rPr>
                <w:rFonts w:ascii="Arial" w:cs="Arial" w:eastAsia="Arial" w:hAnsi="Arial"/>
                <w:color w:val="333333"/>
                <w:sz w:val="17"/>
                <w:szCs w:val="17"/>
              </w:rPr>
              <w:t xml:space="preserve">naslov s temom i datumima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color w:val="A33B2F"/>
                <w:sz w:val="17"/>
                <w:szCs w:val="17"/>
              </w:rPr>
              <w:t xml:space="preserve">▪ </w:t>
            </w:r>
            <w:r>
              <w:rPr>
                <w:rFonts w:ascii="Arial" w:cs="Arial" w:eastAsia="Arial" w:hAnsi="Arial"/>
                <w:color w:val="333333"/>
                <w:sz w:val="17"/>
                <w:szCs w:val="17"/>
              </w:rPr>
              <w:t xml:space="preserve">legendu s jedinicom indeksa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color w:val="A33B2F"/>
                <w:sz w:val="17"/>
                <w:szCs w:val="17"/>
              </w:rPr>
              <w:t xml:space="preserve">▪ </w:t>
            </w:r>
            <w:r>
              <w:rPr>
                <w:rFonts w:ascii="Arial" w:cs="Arial" w:eastAsia="Arial" w:hAnsi="Arial"/>
                <w:color w:val="333333"/>
                <w:sz w:val="17"/>
                <w:szCs w:val="17"/>
              </w:rPr>
              <w:t xml:space="preserve">mjerilo i strelicu sjevera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color w:val="A33B2F"/>
                <w:sz w:val="17"/>
                <w:szCs w:val="17"/>
              </w:rPr>
              <w:t xml:space="preserve">▪ </w:t>
            </w:r>
            <w:r>
              <w:rPr>
                <w:rFonts w:ascii="Arial" w:cs="Arial" w:eastAsia="Arial" w:hAnsi="Arial"/>
                <w:color w:val="333333"/>
                <w:sz w:val="17"/>
                <w:szCs w:val="17"/>
              </w:rPr>
              <w:t xml:space="preserve">izvor: Copernicus Sentinel-2 i datume snimki</w:t>
            </w:r>
          </w:p>
          <w:p>
            <w:pPr>
              <w:spacing w:after="20" w:before="0" w:line="260"/>
            </w:pPr>
            <w:r>
              <w:rPr>
                <w:rFonts w:ascii="Arial" w:cs="Arial" w:eastAsia="Arial" w:hAnsi="Arial"/>
                <w:color w:val="A33B2F"/>
                <w:sz w:val="17"/>
                <w:szCs w:val="17"/>
              </w:rPr>
              <w:t xml:space="preserve">▪ </w:t>
            </w:r>
            <w:r>
              <w:rPr>
                <w:rFonts w:ascii="Arial" w:cs="Arial" w:eastAsia="Arial" w:hAnsi="Arial"/>
                <w:color w:val="333333"/>
                <w:sz w:val="17"/>
                <w:szCs w:val="17"/>
              </w:rPr>
              <w:t xml:space="preserve">vaše inicijale u naslovu ili uglu</w:t>
            </w:r>
          </w:p>
        </w:tc>
      </w:tr>
    </w:tbl>
    <w:p>
      <w:r>
        <w:br w:type="pag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A33B2F" w:color="auto" w:val="clear"/>
            <w:tcMar>
              <w:top w:type="dxa" w:w="100"/>
              <w:left w:type="dxa" w:w="110"/>
              <w:bottom w:type="dxa" w:w="10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24"/>
                <w:szCs w:val="24"/>
              </w:rPr>
              <w:t xml:space="preserve">OBRAZAC IZVJEŠĆA</w:t>
            </w:r>
          </w:p>
        </w:tc>
      </w:tr>
    </w:tbl>
    <w:p>
      <w:pPr>
        <w:spacing w:after="14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3302"/>
        <w:gridCol w:w="3302"/>
      </w:tblGrid>
      <w:tr>
        <w:trPr>
          <w:cantSplit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Stavka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Karta 1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333333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Karta 2</w:t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Tema (broj)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Područje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Datum t₁ / oblaci (%)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Datum t₂ / oblaci (%)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Indeks i formula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Kanali i rezolucija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Prag promjene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333333"/>
                <w:sz w:val="17"/>
                <w:szCs w:val="17"/>
              </w:rPr>
              <w:t xml:space="preserve">Površina promjene (km²)</w:t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  <w:tc>
          <w:tcPr>
            <w:tcW w:type="dxa" w:w="330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</w:tbl>
    <w:p>
      <w:pPr>
        <w:keepNext/>
        <w:spacing w:after="80" w:before="200" w:line="260"/>
      </w:pPr>
      <w:r>
        <w:rPr>
          <w:rFonts w:ascii="Arial" w:cs="Arial" w:eastAsia="Arial" w:hAnsi="Arial"/>
          <w:b/>
          <w:bCs/>
          <w:color w:val="A33B2F"/>
          <w:sz w:val="20"/>
          <w:szCs w:val="20"/>
        </w:rPr>
        <w:t xml:space="preserve">KRATKO IZVJEŠĆE (UKUPNO NAJVIŠE POLA STRANICE)</w:t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A33B2F"/>
                <w:sz w:val="18"/>
                <w:szCs w:val="18"/>
              </w:rPr>
              <w:t xml:space="preserve">Metodologija</w:t>
            </w:r>
            <w:r>
              <w:rPr>
                <w:rFonts w:ascii="Arial" w:cs="Arial" w:eastAsia="Arial" w:hAnsi="Arial"/>
                <w:i/>
                <w:iCs/>
                <w:color w:val="7F7F7F"/>
                <w:sz w:val="15"/>
                <w:szCs w:val="15"/>
              </w:rPr>
              <w:t xml:space="preserve">   što ste i kojim redoslijedom napravili</w:t>
            </w:r>
          </w:p>
        </w:tc>
      </w:tr>
      <w:tr>
        <w:trPr>
          <w:cantSplit/>
          <w:trHeight w:val="1600" w:hRule="atLeast"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</w:tbl>
    <w:p>
      <w:pPr>
        <w:spacing w:after="10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A33B2F"/>
                <w:sz w:val="18"/>
                <w:szCs w:val="18"/>
              </w:rPr>
              <w:t xml:space="preserve">Što karte pokazuju</w:t>
            </w:r>
            <w:r>
              <w:rPr>
                <w:rFonts w:ascii="Arial" w:cs="Arial" w:eastAsia="Arial" w:hAnsi="Arial"/>
                <w:i/>
                <w:iCs/>
                <w:color w:val="7F7F7F"/>
                <w:sz w:val="15"/>
                <w:szCs w:val="15"/>
              </w:rPr>
              <w:t xml:space="preserve">   gdje je promjena i kolika je</w:t>
            </w:r>
          </w:p>
        </w:tc>
      </w:tr>
      <w:tr>
        <w:trPr>
          <w:cantSplit/>
          <w:trHeight w:val="1600" w:hRule="atLeast"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</w:tbl>
    <w:p>
      <w:pPr>
        <w:spacing w:after="100" w:before="0" w:line="260"/>
      </w:pPr>
      <w:r>
        <w:rPr>
          <w:rFonts w:ascii="Arial" w:cs="Arial" w:eastAsia="Arial" w:hAnsi="Arial"/>
          <w:color w:val="333333"/>
          <w:sz w:val="19"/>
          <w:szCs w:val="19"/>
        </w:rPr>
        <w:t xml:space="preserve"/>
      </w:r>
    </w:p>
    <w:tbl>
      <w:tblPr>
        <w:tblW w:type="dxa" w:w="102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204"/>
      </w:tblGrid>
      <w:tr>
        <w:trPr>
          <w:cantSplit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3EFEE" w:color="auto" w:val="clear"/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0" w:before="0" w:line="260"/>
            </w:pPr>
            <w:r>
              <w:rPr>
                <w:rFonts w:ascii="Arial" w:cs="Arial" w:eastAsia="Arial" w:hAnsi="Arial"/>
                <w:b/>
                <w:bCs/>
                <w:color w:val="A33B2F"/>
                <w:sz w:val="18"/>
                <w:szCs w:val="18"/>
              </w:rPr>
              <w:t xml:space="preserve">Ograničenja</w:t>
            </w:r>
            <w:r>
              <w:rPr>
                <w:rFonts w:ascii="Arial" w:cs="Arial" w:eastAsia="Arial" w:hAnsi="Arial"/>
                <w:i/>
                <w:iCs/>
                <w:color w:val="7F7F7F"/>
                <w:sz w:val="15"/>
                <w:szCs w:val="15"/>
              </w:rPr>
              <w:t xml:space="preserve">   oblaci, sjene, doba godine, prag…</w:t>
            </w:r>
          </w:p>
        </w:tc>
      </w:tr>
      <w:tr>
        <w:trPr>
          <w:cantSplit/>
          <w:trHeight w:val="1100" w:hRule="atLeast"/>
        </w:trPr>
        <w:tc>
          <w:tcPr>
            <w:tcW w:type="dxa" w:w="10204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60"/>
              <w:left w:type="dxa" w:w="110"/>
              <w:bottom w:type="dxa" w:w="60"/>
              <w:right w:type="dxa" w:w="110"/>
            </w:tcMar>
            <w:vAlign w:val="center"/>
          </w:tcPr>
          <w:p>
            <w:pPr>
              <w:spacing w:after="80" w:before="0" w:line="26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/>
            </w:r>
          </w:p>
        </w:tc>
      </w:tr>
    </w:tbl>
    <w:sectPr>
      <w:pgSz w:w="11906" w:h="16838" w:orient="portrait"/>
      <w:pgMar w:top="794" w:right="851" w:bottom="794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60" w:hanging="300"/>
      </w:pPr>
      <w:rPr>
        <w:rFonts w:ascii="Arial" w:cs="Arial" w:eastAsia="Arial" w:hAnsi="Arial"/>
        <w:b/>
        <w:bCs/>
        <w:color w:val="A33B2F"/>
        <w:sz w:val="18"/>
        <w:szCs w:val="18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2026-11-06T10:54:51.320Z</dcterms:created>
  <dcterms:modified xsi:type="dcterms:W3CDTF">2026-11-06T10:54:51.322Z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